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宋体" w:eastAsia="方正小标宋简体"/>
          <w:sz w:val="72"/>
          <w:szCs w:val="72"/>
        </w:rPr>
      </w:pPr>
      <w:bookmarkStart w:id="0" w:name="_Toc15377193"/>
      <w:bookmarkStart w:id="1" w:name="_Toc15377425"/>
      <w:bookmarkStart w:id="2" w:name="_Toc15396597"/>
      <w:bookmarkStart w:id="3" w:name="_Toc15378441"/>
      <w:bookmarkStart w:id="4" w:name="_Toc15396475"/>
      <w:bookmarkStart w:id="5" w:name="_Toc15306267"/>
    </w:p>
    <w:p>
      <w:pPr>
        <w:pStyle w:val="2"/>
        <w:spacing w:before="93"/>
      </w:pPr>
    </w:p>
    <w:p>
      <w:pPr>
        <w:spacing w:line="600" w:lineRule="exact"/>
        <w:jc w:val="center"/>
        <w:rPr>
          <w:rFonts w:ascii="方正小标宋简体" w:hAnsi="宋体" w:eastAsia="方正小标宋简体"/>
          <w:sz w:val="72"/>
          <w:szCs w:val="72"/>
        </w:rPr>
      </w:pPr>
    </w:p>
    <w:p>
      <w:pPr>
        <w:spacing w:line="600" w:lineRule="exact"/>
        <w:jc w:val="center"/>
        <w:rPr>
          <w:rFonts w:ascii="方正小标宋简体" w:hAnsi="宋体" w:eastAsia="方正小标宋简体"/>
          <w:sz w:val="72"/>
          <w:szCs w:val="72"/>
        </w:rPr>
      </w:pPr>
    </w:p>
    <w:p>
      <w:pPr>
        <w:adjustRightInd w:val="0"/>
        <w:snapToGrid w:val="0"/>
        <w:spacing w:line="360" w:lineRule="auto"/>
        <w:jc w:val="center"/>
        <w:rPr>
          <w:rFonts w:ascii="方正小标宋简体" w:hAnsi="方正小标宋简体" w:eastAsia="方正小标宋简体" w:cs="方正小标宋简体"/>
          <w:sz w:val="72"/>
          <w:szCs w:val="72"/>
        </w:rPr>
      </w:pPr>
      <w:bookmarkStart w:id="6" w:name="_Toc7328"/>
      <w:r>
        <w:rPr>
          <w:rFonts w:hint="eastAsia" w:ascii="方正小标宋简体" w:hAnsi="方正小标宋简体" w:eastAsia="方正小标宋简体" w:cs="方正小标宋简体"/>
          <w:sz w:val="72"/>
          <w:szCs w:val="72"/>
        </w:rPr>
        <w:t>202</w:t>
      </w:r>
      <w:r>
        <w:rPr>
          <w:rFonts w:hint="default" w:ascii="方正小标宋简体" w:hAnsi="方正小标宋简体" w:eastAsia="方正小标宋简体" w:cs="方正小标宋简体"/>
          <w:sz w:val="72"/>
          <w:szCs w:val="72"/>
          <w:lang w:val="en"/>
        </w:rPr>
        <w:t>4</w:t>
      </w:r>
      <w:r>
        <w:rPr>
          <w:rFonts w:hint="eastAsia" w:ascii="方正小标宋简体" w:hAnsi="方正小标宋简体" w:eastAsia="方正小标宋简体" w:cs="方正小标宋简体"/>
          <w:sz w:val="72"/>
          <w:szCs w:val="72"/>
        </w:rPr>
        <w:t>年度</w:t>
      </w:r>
      <w:bookmarkEnd w:id="0"/>
      <w:bookmarkEnd w:id="1"/>
      <w:bookmarkEnd w:id="2"/>
      <w:bookmarkEnd w:id="3"/>
      <w:bookmarkEnd w:id="4"/>
      <w:bookmarkEnd w:id="6"/>
    </w:p>
    <w:p>
      <w:pPr>
        <w:spacing w:line="360" w:lineRule="auto"/>
        <w:jc w:val="center"/>
        <w:rPr>
          <w:rFonts w:ascii="方正小标宋简体" w:hAnsi="方正小标宋简体" w:eastAsia="方正小标宋简体"/>
          <w:sz w:val="72"/>
          <w:lang w:val="zh-CN"/>
        </w:rPr>
      </w:pPr>
      <w:bookmarkStart w:id="7" w:name="_Toc15377426"/>
      <w:bookmarkStart w:id="8" w:name="_Toc15377194"/>
      <w:bookmarkStart w:id="9" w:name="_Toc15396476"/>
      <w:bookmarkStart w:id="10" w:name="_Toc15396598"/>
      <w:bookmarkStart w:id="11" w:name="_Toc15378442"/>
      <w:r>
        <w:rPr>
          <w:rFonts w:hint="eastAsia" w:ascii="方正小标宋简体" w:hAnsi="方正小标宋简体" w:eastAsia="方正小标宋简体" w:cs="方正小标宋简体"/>
          <w:sz w:val="72"/>
          <w:szCs w:val="72"/>
        </w:rPr>
        <w:t>四川省</w:t>
      </w:r>
      <w:bookmarkEnd w:id="5"/>
      <w:bookmarkStart w:id="12" w:name="_Toc15306268"/>
      <w:r>
        <w:rPr>
          <w:rFonts w:hint="eastAsia" w:ascii="方正小标宋简体" w:hAnsi="方正小标宋简体" w:eastAsia="方正小标宋简体"/>
          <w:sz w:val="72"/>
          <w:lang w:val="zh-CN"/>
        </w:rPr>
        <w:t>广元市民政局</w:t>
      </w:r>
    </w:p>
    <w:p>
      <w:pPr>
        <w:tabs>
          <w:tab w:val="center" w:pos="4213"/>
          <w:tab w:val="left" w:pos="7659"/>
        </w:tabs>
        <w:adjustRightInd w:val="0"/>
        <w:snapToGrid w:val="0"/>
        <w:spacing w:line="360" w:lineRule="auto"/>
        <w:jc w:val="left"/>
        <w:rPr>
          <w:rFonts w:hint="eastAsia" w:ascii="方正小标宋简体" w:hAnsi="方正小标宋简体" w:eastAsia="方正小标宋简体" w:cs="方正小标宋简体"/>
          <w:sz w:val="72"/>
          <w:szCs w:val="72"/>
          <w:lang w:eastAsia="zh-CN"/>
        </w:rPr>
      </w:pPr>
      <w:bookmarkStart w:id="13" w:name="_Toc624"/>
      <w:r>
        <w:rPr>
          <w:rFonts w:hint="eastAsia" w:ascii="方正小标宋简体" w:hAnsi="方正小标宋简体" w:eastAsia="方正小标宋简体" w:cs="方正小标宋简体"/>
          <w:sz w:val="72"/>
          <w:szCs w:val="72"/>
          <w:lang w:eastAsia="zh-CN"/>
        </w:rPr>
        <w:tab/>
      </w:r>
      <w:r>
        <w:rPr>
          <w:rFonts w:hint="eastAsia" w:ascii="方正小标宋简体" w:hAnsi="方正小标宋简体" w:eastAsia="方正小标宋简体" w:cs="方正小标宋简体"/>
          <w:sz w:val="72"/>
          <w:szCs w:val="72"/>
        </w:rPr>
        <w:t>部门决算</w:t>
      </w:r>
      <w:bookmarkEnd w:id="7"/>
      <w:bookmarkEnd w:id="8"/>
      <w:bookmarkEnd w:id="9"/>
      <w:bookmarkEnd w:id="10"/>
      <w:bookmarkEnd w:id="11"/>
      <w:bookmarkEnd w:id="12"/>
      <w:bookmarkEnd w:id="13"/>
      <w:r>
        <w:rPr>
          <w:rFonts w:hint="eastAsia" w:ascii="方正小标宋简体" w:hAnsi="方正小标宋简体" w:eastAsia="方正小标宋简体" w:cs="方正小标宋简体"/>
          <w:sz w:val="72"/>
          <w:szCs w:val="72"/>
          <w:lang w:eastAsia="zh-CN"/>
        </w:rPr>
        <w:tab/>
      </w:r>
    </w:p>
    <w:p>
      <w:pPr>
        <w:widowControl/>
        <w:jc w:val="center"/>
        <w:rPr>
          <w:rFonts w:ascii="方正小标宋简体" w:hAnsi="宋体" w:eastAsia="方正小标宋简体"/>
          <w:sz w:val="36"/>
          <w:szCs w:val="36"/>
        </w:rPr>
      </w:pPr>
    </w:p>
    <w:p>
      <w:pPr>
        <w:bidi w:val="0"/>
        <w:jc w:val="left"/>
        <w:rPr>
          <w:rFonts w:ascii="方正小标宋简体" w:hAnsi="宋体" w:eastAsia="方正小标宋简体"/>
          <w:sz w:val="36"/>
          <w:szCs w:val="36"/>
        </w:rPr>
      </w:pPr>
    </w:p>
    <w:p>
      <w:pPr>
        <w:bidi w:val="0"/>
        <w:rPr>
          <w:rFonts w:ascii="方正小标宋简体" w:hAnsi="宋体" w:eastAsia="方正小标宋简体"/>
          <w:sz w:val="36"/>
          <w:szCs w:val="36"/>
        </w:rPr>
      </w:pPr>
    </w:p>
    <w:p>
      <w:pPr>
        <w:bidi w:val="0"/>
        <w:rPr>
          <w:rFonts w:ascii="方正小标宋简体" w:hAnsi="宋体" w:eastAsia="方正小标宋简体"/>
          <w:sz w:val="36"/>
          <w:szCs w:val="36"/>
        </w:rPr>
      </w:pPr>
    </w:p>
    <w:p>
      <w:pPr>
        <w:bidi w:val="0"/>
        <w:jc w:val="left"/>
        <w:rPr>
          <w:rFonts w:ascii="黑体" w:hAnsi="黑体" w:eastAsia="黑体"/>
          <w:sz w:val="48"/>
          <w:szCs w:val="48"/>
        </w:rPr>
      </w:pPr>
      <w:r>
        <w:rPr>
          <w:rFonts w:ascii="方正小标宋简体" w:hAnsi="宋体" w:eastAsia="方正小标宋简体"/>
          <w:sz w:val="36"/>
          <w:szCs w:val="36"/>
        </w:rPr>
        <w:br w:type="page"/>
      </w:r>
      <w:r>
        <w:rPr>
          <w:rFonts w:hint="eastAsia" w:ascii="方正小标宋简体" w:hAnsi="宋体" w:eastAsia="方正小标宋简体"/>
          <w:sz w:val="36"/>
          <w:szCs w:val="36"/>
          <w:lang w:val="en-US" w:eastAsia="zh-CN"/>
        </w:rPr>
        <w:t xml:space="preserve">                   </w:t>
      </w:r>
      <w:r>
        <w:rPr>
          <w:rFonts w:hint="eastAsia" w:ascii="黑体" w:hAnsi="黑体" w:eastAsia="黑体"/>
          <w:sz w:val="48"/>
          <w:szCs w:val="48"/>
        </w:rPr>
        <w:t>目录</w:t>
      </w:r>
    </w:p>
    <w:p>
      <w:pPr>
        <w:pStyle w:val="17"/>
      </w:pPr>
      <w:r>
        <w:rPr>
          <w:rFonts w:hint="eastAsia"/>
        </w:rPr>
        <w:t>公开时间：202</w:t>
      </w:r>
      <w:r>
        <w:rPr>
          <w:rFonts w:hint="default"/>
          <w:lang w:val="en"/>
        </w:rPr>
        <w:t>4</w:t>
      </w:r>
      <w:r>
        <w:rPr>
          <w:rFonts w:hint="eastAsia"/>
        </w:rPr>
        <w:t>年</w:t>
      </w:r>
      <w:r>
        <w:t>10</w:t>
      </w:r>
      <w:r>
        <w:rPr>
          <w:rFonts w:hint="eastAsia"/>
        </w:rPr>
        <w:t>月2 日</w:t>
      </w:r>
    </w:p>
    <w:sdt>
      <w:sdtPr>
        <w:rPr>
          <w:rFonts w:ascii="宋体" w:hAnsi="宋体"/>
        </w:rPr>
        <w:id w:val="147457769"/>
        <w15:color w:val="DBDBDB"/>
        <w:docPartObj>
          <w:docPartGallery w:val="Table of Contents"/>
          <w:docPartUnique/>
        </w:docPartObj>
      </w:sdtPr>
      <w:sdtEndPr>
        <w:rPr>
          <w:rFonts w:hint="eastAsia" w:ascii="黑体" w:hAnsi="黑体" w:eastAsia="黑体"/>
          <w:b/>
          <w:bCs/>
          <w:kern w:val="44"/>
          <w:sz w:val="44"/>
          <w:szCs w:val="44"/>
        </w:rPr>
      </w:sdtEndPr>
      <w:sdtContent>
        <w:p>
          <w:pPr>
            <w:jc w:val="center"/>
          </w:pPr>
          <w:bookmarkStart w:id="14" w:name="_Toc15396599"/>
          <w:bookmarkStart w:id="15" w:name="_Toc15377196"/>
        </w:p>
        <w:p>
          <w:pPr>
            <w:pStyle w:val="17"/>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TOC \o "1-3" \h \u </w:instrText>
          </w:r>
          <w:r>
            <w:rPr>
              <w:rFonts w:hint="eastAsia" w:ascii="黑体" w:hAnsi="黑体" w:eastAsia="黑体"/>
            </w:rPr>
            <w:fldChar w:fldCharType="separate"/>
          </w:r>
          <w:r>
            <w:rPr>
              <w:rFonts w:hint="eastAsia" w:ascii="黑体" w:hAnsi="黑体" w:eastAsia="黑体"/>
            </w:rPr>
            <w:fldChar w:fldCharType="begin"/>
          </w:r>
          <w:r>
            <w:rPr>
              <w:rFonts w:hint="eastAsia" w:ascii="黑体" w:hAnsi="黑体" w:eastAsia="黑体"/>
            </w:rPr>
            <w:instrText xml:space="preserve"> HYPERLINK \l _Toc10003 </w:instrText>
          </w:r>
          <w:r>
            <w:rPr>
              <w:rFonts w:hint="eastAsia" w:ascii="黑体" w:hAnsi="黑体" w:eastAsia="黑体"/>
            </w:rPr>
            <w:fldChar w:fldCharType="separate"/>
          </w:r>
          <w:r>
            <w:rPr>
              <w:rFonts w:hint="eastAsia" w:ascii="黑体" w:hAnsi="黑体" w:eastAsia="黑体"/>
            </w:rPr>
            <w:t xml:space="preserve">第一部分 </w:t>
          </w:r>
          <w:r>
            <w:rPr>
              <w:rFonts w:hint="eastAsia" w:ascii="黑体" w:hAnsi="黑体" w:eastAsia="黑体"/>
              <w:bCs w:val="0"/>
            </w:rPr>
            <w:t>部门概况</w:t>
          </w:r>
          <w:r>
            <w:tab/>
          </w:r>
          <w:r>
            <w:fldChar w:fldCharType="begin"/>
          </w:r>
          <w:r>
            <w:instrText xml:space="preserve"> PAGEREF _Toc10003 \h </w:instrText>
          </w:r>
          <w:r>
            <w:fldChar w:fldCharType="separate"/>
          </w:r>
          <w:r>
            <w:t>1</w:t>
          </w:r>
          <w:r>
            <w:fldChar w:fldCharType="end"/>
          </w:r>
          <w:r>
            <w:rPr>
              <w:rFonts w:hint="eastAsia" w:ascii="黑体" w:hAnsi="黑体" w:eastAsia="黑体"/>
            </w:rPr>
            <w:fldChar w:fldCharType="end"/>
          </w:r>
        </w:p>
        <w:p>
          <w:pPr>
            <w:pStyle w:val="19"/>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_Toc28802 </w:instrText>
          </w:r>
          <w:r>
            <w:rPr>
              <w:rFonts w:hint="eastAsia" w:ascii="黑体" w:hAnsi="黑体" w:eastAsia="黑体"/>
            </w:rPr>
            <w:fldChar w:fldCharType="separate"/>
          </w:r>
          <w:r>
            <w:rPr>
              <w:rFonts w:hint="default" w:ascii="黑体" w:hAnsi="黑体" w:eastAsia="黑体"/>
            </w:rPr>
            <w:t xml:space="preserve">一、 </w:t>
          </w:r>
          <w:r>
            <w:rPr>
              <w:rFonts w:hint="eastAsia" w:ascii="黑体" w:hAnsi="黑体" w:eastAsia="黑体"/>
            </w:rPr>
            <w:t>部门职责</w:t>
          </w:r>
          <w:r>
            <w:tab/>
          </w:r>
          <w:r>
            <w:fldChar w:fldCharType="begin"/>
          </w:r>
          <w:r>
            <w:instrText xml:space="preserve"> PAGEREF _Toc28802 \h </w:instrText>
          </w:r>
          <w:r>
            <w:fldChar w:fldCharType="separate"/>
          </w:r>
          <w:r>
            <w:t>1</w:t>
          </w:r>
          <w:r>
            <w:fldChar w:fldCharType="end"/>
          </w:r>
          <w:r>
            <w:rPr>
              <w:rFonts w:hint="eastAsia" w:ascii="黑体" w:hAnsi="黑体" w:eastAsia="黑体"/>
            </w:rPr>
            <w:fldChar w:fldCharType="end"/>
          </w:r>
        </w:p>
        <w:p>
          <w:pPr>
            <w:pStyle w:val="19"/>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_Toc12386 </w:instrText>
          </w:r>
          <w:r>
            <w:rPr>
              <w:rFonts w:hint="eastAsia" w:ascii="黑体" w:hAnsi="黑体" w:eastAsia="黑体"/>
            </w:rPr>
            <w:fldChar w:fldCharType="separate"/>
          </w:r>
          <w:r>
            <w:rPr>
              <w:rFonts w:hint="eastAsia" w:ascii="黑体" w:eastAsia="黑体"/>
            </w:rPr>
            <w:t>二、</w:t>
          </w:r>
          <w:r>
            <w:rPr>
              <w:rFonts w:hint="eastAsia" w:ascii="黑体" w:eastAsia="黑体"/>
              <w:lang w:val="en-US" w:eastAsia="zh-CN"/>
            </w:rPr>
            <w:t xml:space="preserve"> </w:t>
          </w:r>
          <w:r>
            <w:rPr>
              <w:rFonts w:hint="eastAsia" w:ascii="黑体" w:hAnsi="黑体" w:eastAsia="黑体"/>
            </w:rPr>
            <w:t>机</w:t>
          </w:r>
          <w:r>
            <w:rPr>
              <w:rFonts w:hint="eastAsia" w:ascii="黑体" w:hAnsi="黑体" w:eastAsia="黑体"/>
              <w:bCs w:val="0"/>
            </w:rPr>
            <w:t>构设置</w:t>
          </w:r>
          <w:r>
            <w:tab/>
          </w:r>
          <w:r>
            <w:fldChar w:fldCharType="begin"/>
          </w:r>
          <w:r>
            <w:instrText xml:space="preserve"> PAGEREF _Toc12386 \h </w:instrText>
          </w:r>
          <w:r>
            <w:fldChar w:fldCharType="separate"/>
          </w:r>
          <w:r>
            <w:t>3</w:t>
          </w:r>
          <w:r>
            <w:fldChar w:fldCharType="end"/>
          </w:r>
          <w:r>
            <w:rPr>
              <w:rFonts w:hint="eastAsia" w:ascii="黑体" w:hAnsi="黑体" w:eastAsia="黑体"/>
            </w:rPr>
            <w:fldChar w:fldCharType="end"/>
          </w:r>
        </w:p>
        <w:p>
          <w:pPr>
            <w:pStyle w:val="17"/>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_Toc30250 </w:instrText>
          </w:r>
          <w:r>
            <w:rPr>
              <w:rFonts w:hint="eastAsia" w:ascii="黑体" w:hAnsi="黑体" w:eastAsia="黑体"/>
            </w:rPr>
            <w:fldChar w:fldCharType="separate"/>
          </w:r>
          <w:r>
            <w:rPr>
              <w:rFonts w:hint="eastAsia" w:ascii="黑体" w:hAnsi="黑体" w:eastAsia="黑体"/>
            </w:rPr>
            <w:t>第二部分 202</w:t>
          </w:r>
          <w:r>
            <w:rPr>
              <w:rFonts w:hint="default" w:ascii="黑体" w:hAnsi="黑体" w:eastAsia="黑体"/>
              <w:lang w:val="en"/>
            </w:rPr>
            <w:t>4</w:t>
          </w:r>
          <w:r>
            <w:rPr>
              <w:rFonts w:hint="eastAsia" w:ascii="黑体" w:hAnsi="黑体" w:eastAsia="黑体"/>
            </w:rPr>
            <w:t>年度</w:t>
          </w:r>
          <w:r>
            <w:rPr>
              <w:rFonts w:hint="eastAsia" w:ascii="黑体" w:hAnsi="黑体" w:eastAsia="黑体"/>
              <w:bCs/>
            </w:rPr>
            <w:t>部门决算情况说明</w:t>
          </w:r>
          <w:r>
            <w:tab/>
          </w:r>
          <w:r>
            <w:fldChar w:fldCharType="begin"/>
          </w:r>
          <w:r>
            <w:instrText xml:space="preserve"> PAGEREF _Toc30250 \h </w:instrText>
          </w:r>
          <w:r>
            <w:fldChar w:fldCharType="separate"/>
          </w:r>
          <w:r>
            <w:t>5</w:t>
          </w:r>
          <w:r>
            <w:fldChar w:fldCharType="end"/>
          </w:r>
          <w:r>
            <w:rPr>
              <w:rFonts w:hint="eastAsia" w:ascii="黑体" w:hAnsi="黑体" w:eastAsia="黑体"/>
            </w:rPr>
            <w:fldChar w:fldCharType="end"/>
          </w:r>
        </w:p>
        <w:p>
          <w:pPr>
            <w:pStyle w:val="19"/>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_Toc18126 </w:instrText>
          </w:r>
          <w:r>
            <w:rPr>
              <w:rFonts w:hint="eastAsia" w:ascii="黑体" w:hAnsi="黑体" w:eastAsia="黑体"/>
            </w:rP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_Toc18126 \h </w:instrText>
          </w:r>
          <w:r>
            <w:fldChar w:fldCharType="separate"/>
          </w:r>
          <w:r>
            <w:t>5</w:t>
          </w:r>
          <w:r>
            <w:fldChar w:fldCharType="end"/>
          </w:r>
          <w:r>
            <w:rPr>
              <w:rFonts w:hint="eastAsia" w:ascii="黑体" w:hAnsi="黑体" w:eastAsia="黑体"/>
            </w:rPr>
            <w:fldChar w:fldCharType="end"/>
          </w:r>
        </w:p>
        <w:p>
          <w:pPr>
            <w:pStyle w:val="19"/>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_Toc6238 </w:instrText>
          </w:r>
          <w:r>
            <w:rPr>
              <w:rFonts w:hint="eastAsia" w:ascii="黑体" w:hAnsi="黑体" w:eastAsia="黑体"/>
            </w:rP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_Toc6238 \h </w:instrText>
          </w:r>
          <w:r>
            <w:fldChar w:fldCharType="separate"/>
          </w:r>
          <w:r>
            <w:t>5</w:t>
          </w:r>
          <w:r>
            <w:fldChar w:fldCharType="end"/>
          </w:r>
          <w:r>
            <w:rPr>
              <w:rFonts w:hint="eastAsia" w:ascii="黑体" w:hAnsi="黑体" w:eastAsia="黑体"/>
            </w:rPr>
            <w:fldChar w:fldCharType="end"/>
          </w:r>
        </w:p>
        <w:p>
          <w:pPr>
            <w:pStyle w:val="19"/>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_Toc7399 </w:instrText>
          </w:r>
          <w:r>
            <w:rPr>
              <w:rFonts w:hint="eastAsia" w:ascii="黑体" w:hAnsi="黑体" w:eastAsia="黑体"/>
            </w:rP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_Toc7399 \h </w:instrText>
          </w:r>
          <w:r>
            <w:fldChar w:fldCharType="separate"/>
          </w:r>
          <w:r>
            <w:t>6</w:t>
          </w:r>
          <w:r>
            <w:fldChar w:fldCharType="end"/>
          </w:r>
          <w:r>
            <w:rPr>
              <w:rFonts w:hint="eastAsia" w:ascii="黑体" w:hAnsi="黑体" w:eastAsia="黑体"/>
            </w:rPr>
            <w:fldChar w:fldCharType="end"/>
          </w:r>
        </w:p>
        <w:p>
          <w:pPr>
            <w:pStyle w:val="19"/>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_Toc6289 </w:instrText>
          </w:r>
          <w:r>
            <w:rPr>
              <w:rFonts w:hint="eastAsia" w:ascii="黑体" w:hAnsi="黑体" w:eastAsia="黑体"/>
            </w:rPr>
            <w:fldChar w:fldCharType="separate"/>
          </w:r>
          <w:r>
            <w:rPr>
              <w:rFonts w:hint="default" w:ascii="黑体" w:hAnsi="黑体" w:eastAsia="黑体"/>
            </w:rPr>
            <w:t xml:space="preserve">四、 </w:t>
          </w:r>
          <w:r>
            <w:rPr>
              <w:rFonts w:hint="eastAsia" w:ascii="黑体" w:hAnsi="黑体" w:eastAsia="黑体"/>
              <w:szCs w:val="32"/>
            </w:rPr>
            <w:t>财</w:t>
          </w:r>
          <w:r>
            <w:rPr>
              <w:rFonts w:hint="eastAsia" w:ascii="黑体" w:hAnsi="黑体" w:eastAsia="黑体"/>
            </w:rPr>
            <w:t>政拨款收入支出决算总体情况说明</w:t>
          </w:r>
          <w:r>
            <w:tab/>
          </w:r>
          <w:r>
            <w:fldChar w:fldCharType="begin"/>
          </w:r>
          <w:r>
            <w:instrText xml:space="preserve"> PAGEREF _Toc6289 \h </w:instrText>
          </w:r>
          <w:r>
            <w:fldChar w:fldCharType="separate"/>
          </w:r>
          <w:r>
            <w:t>7</w:t>
          </w:r>
          <w:r>
            <w:fldChar w:fldCharType="end"/>
          </w:r>
          <w:r>
            <w:rPr>
              <w:rFonts w:hint="eastAsia" w:ascii="黑体" w:hAnsi="黑体" w:eastAsia="黑体"/>
            </w:rPr>
            <w:fldChar w:fldCharType="end"/>
          </w:r>
        </w:p>
        <w:p>
          <w:pPr>
            <w:pStyle w:val="19"/>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_Toc27376 </w:instrText>
          </w:r>
          <w:r>
            <w:rPr>
              <w:rFonts w:hint="eastAsia" w:ascii="黑体" w:hAnsi="黑体" w:eastAsia="黑体"/>
            </w:rP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_Toc27376 \h </w:instrText>
          </w:r>
          <w:r>
            <w:fldChar w:fldCharType="separate"/>
          </w:r>
          <w:r>
            <w:t>7</w:t>
          </w:r>
          <w:r>
            <w:fldChar w:fldCharType="end"/>
          </w:r>
          <w:r>
            <w:rPr>
              <w:rFonts w:hint="eastAsia" w:ascii="黑体" w:hAnsi="黑体" w:eastAsia="黑体"/>
            </w:rPr>
            <w:fldChar w:fldCharType="end"/>
          </w:r>
        </w:p>
        <w:p>
          <w:pPr>
            <w:pStyle w:val="19"/>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_Toc16429 </w:instrText>
          </w:r>
          <w:r>
            <w:rPr>
              <w:rFonts w:hint="eastAsia" w:ascii="黑体" w:hAnsi="黑体" w:eastAsia="黑体"/>
            </w:rP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_Toc16429 \h </w:instrText>
          </w:r>
          <w:r>
            <w:fldChar w:fldCharType="separate"/>
          </w:r>
          <w:r>
            <w:t>11</w:t>
          </w:r>
          <w:r>
            <w:fldChar w:fldCharType="end"/>
          </w:r>
          <w:r>
            <w:rPr>
              <w:rFonts w:hint="eastAsia" w:ascii="黑体" w:hAnsi="黑体" w:eastAsia="黑体"/>
            </w:rPr>
            <w:fldChar w:fldCharType="end"/>
          </w:r>
        </w:p>
        <w:p>
          <w:pPr>
            <w:pStyle w:val="19"/>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_Toc17944 </w:instrText>
          </w:r>
          <w:r>
            <w:rPr>
              <w:rFonts w:hint="eastAsia" w:ascii="黑体" w:hAnsi="黑体" w:eastAsia="黑体"/>
            </w:rP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_Toc17944 \h </w:instrText>
          </w:r>
          <w:r>
            <w:fldChar w:fldCharType="separate"/>
          </w:r>
          <w:r>
            <w:t>12</w:t>
          </w:r>
          <w:r>
            <w:fldChar w:fldCharType="end"/>
          </w:r>
          <w:r>
            <w:rPr>
              <w:rFonts w:hint="eastAsia" w:ascii="黑体" w:hAnsi="黑体" w:eastAsia="黑体"/>
            </w:rPr>
            <w:fldChar w:fldCharType="end"/>
          </w:r>
        </w:p>
        <w:p>
          <w:pPr>
            <w:pStyle w:val="19"/>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_Toc9065 </w:instrText>
          </w:r>
          <w:r>
            <w:rPr>
              <w:rFonts w:hint="eastAsia" w:ascii="黑体" w:hAnsi="黑体" w:eastAsia="黑体"/>
            </w:rP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_Toc9065 \h </w:instrText>
          </w:r>
          <w:r>
            <w:fldChar w:fldCharType="separate"/>
          </w:r>
          <w:r>
            <w:t>14</w:t>
          </w:r>
          <w:r>
            <w:fldChar w:fldCharType="end"/>
          </w:r>
          <w:r>
            <w:rPr>
              <w:rFonts w:hint="eastAsia" w:ascii="黑体" w:hAnsi="黑体" w:eastAsia="黑体"/>
            </w:rPr>
            <w:fldChar w:fldCharType="end"/>
          </w:r>
        </w:p>
        <w:p>
          <w:pPr>
            <w:pStyle w:val="19"/>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_Toc32367 </w:instrText>
          </w:r>
          <w:r>
            <w:rPr>
              <w:rFonts w:hint="eastAsia" w:ascii="黑体" w:hAnsi="黑体" w:eastAsia="黑体"/>
            </w:rPr>
            <w:fldChar w:fldCharType="separate"/>
          </w:r>
          <w:r>
            <w:rPr>
              <w:rFonts w:hint="eastAsia" w:ascii="黑体" w:hAnsi="黑体" w:eastAsia="黑体"/>
            </w:rPr>
            <w:t>九、 国有资本经营预算支出决算情况说明</w:t>
          </w:r>
          <w:r>
            <w:tab/>
          </w:r>
          <w:r>
            <w:fldChar w:fldCharType="begin"/>
          </w:r>
          <w:r>
            <w:instrText xml:space="preserve"> PAGEREF _Toc32367 \h </w:instrText>
          </w:r>
          <w:r>
            <w:fldChar w:fldCharType="separate"/>
          </w:r>
          <w:r>
            <w:t>14</w:t>
          </w:r>
          <w:r>
            <w:fldChar w:fldCharType="end"/>
          </w:r>
          <w:r>
            <w:rPr>
              <w:rFonts w:hint="eastAsia" w:ascii="黑体" w:hAnsi="黑体" w:eastAsia="黑体"/>
            </w:rPr>
            <w:fldChar w:fldCharType="end"/>
          </w:r>
        </w:p>
        <w:p>
          <w:pPr>
            <w:pStyle w:val="19"/>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_Toc5088 </w:instrText>
          </w:r>
          <w:r>
            <w:rPr>
              <w:rFonts w:hint="eastAsia" w:ascii="黑体" w:hAnsi="黑体" w:eastAsia="黑体"/>
            </w:rPr>
            <w:fldChar w:fldCharType="separate"/>
          </w:r>
          <w:r>
            <w:rPr>
              <w:rFonts w:hint="eastAsia" w:ascii="黑体" w:hAnsi="黑体" w:eastAsia="黑体"/>
            </w:rPr>
            <w:t>十、 其他重要事项的情况说明</w:t>
          </w:r>
          <w:r>
            <w:tab/>
          </w:r>
          <w:r>
            <w:fldChar w:fldCharType="begin"/>
          </w:r>
          <w:r>
            <w:instrText xml:space="preserve"> PAGEREF _Toc5088 \h </w:instrText>
          </w:r>
          <w:r>
            <w:fldChar w:fldCharType="separate"/>
          </w:r>
          <w:r>
            <w:t>14</w:t>
          </w:r>
          <w:r>
            <w:fldChar w:fldCharType="end"/>
          </w:r>
          <w:r>
            <w:rPr>
              <w:rFonts w:hint="eastAsia" w:ascii="黑体" w:hAnsi="黑体" w:eastAsia="黑体"/>
            </w:rPr>
            <w:fldChar w:fldCharType="end"/>
          </w:r>
        </w:p>
        <w:p>
          <w:pPr>
            <w:pStyle w:val="17"/>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_Toc8624 </w:instrText>
          </w:r>
          <w:r>
            <w:rPr>
              <w:rFonts w:hint="eastAsia" w:ascii="黑体" w:hAnsi="黑体" w:eastAsia="黑体"/>
            </w:rPr>
            <w:fldChar w:fldCharType="separate"/>
          </w:r>
          <w:r>
            <w:rPr>
              <w:rFonts w:hint="eastAsia" w:ascii="黑体" w:hAnsi="黑体" w:eastAsia="黑体"/>
            </w:rPr>
            <w:t>第三部分 名词解释</w:t>
          </w:r>
          <w:r>
            <w:tab/>
          </w:r>
          <w:r>
            <w:fldChar w:fldCharType="begin"/>
          </w:r>
          <w:r>
            <w:instrText xml:space="preserve"> PAGEREF _Toc8624 \h </w:instrText>
          </w:r>
          <w:r>
            <w:fldChar w:fldCharType="separate"/>
          </w:r>
          <w:r>
            <w:t>16</w:t>
          </w:r>
          <w:r>
            <w:fldChar w:fldCharType="end"/>
          </w:r>
          <w:r>
            <w:rPr>
              <w:rFonts w:hint="eastAsia" w:ascii="黑体" w:hAnsi="黑体" w:eastAsia="黑体"/>
            </w:rPr>
            <w:fldChar w:fldCharType="end"/>
          </w:r>
        </w:p>
        <w:p>
          <w:pPr>
            <w:pStyle w:val="17"/>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_Toc2251 </w:instrText>
          </w:r>
          <w:r>
            <w:rPr>
              <w:rFonts w:hint="eastAsia" w:ascii="黑体" w:hAnsi="黑体" w:eastAsia="黑体"/>
            </w:rPr>
            <w:fldChar w:fldCharType="separate"/>
          </w:r>
          <w:r>
            <w:rPr>
              <w:rFonts w:hint="eastAsia" w:ascii="黑体" w:hAnsi="黑体" w:eastAsia="黑体"/>
            </w:rPr>
            <w:t>第四部分 附件</w:t>
          </w:r>
          <w:r>
            <w:tab/>
          </w:r>
          <w:r>
            <w:fldChar w:fldCharType="begin"/>
          </w:r>
          <w:r>
            <w:instrText xml:space="preserve"> PAGEREF _Toc2251 \h </w:instrText>
          </w:r>
          <w:r>
            <w:fldChar w:fldCharType="separate"/>
          </w:r>
          <w:r>
            <w:t>21</w:t>
          </w:r>
          <w:r>
            <w:fldChar w:fldCharType="end"/>
          </w:r>
          <w:r>
            <w:rPr>
              <w:rFonts w:hint="eastAsia" w:ascii="黑体" w:hAnsi="黑体" w:eastAsia="黑体"/>
            </w:rPr>
            <w:fldChar w:fldCharType="end"/>
          </w:r>
        </w:p>
        <w:p>
          <w:pPr>
            <w:pStyle w:val="17"/>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_Toc28939 </w:instrText>
          </w:r>
          <w:r>
            <w:rPr>
              <w:rFonts w:hint="eastAsia" w:ascii="黑体" w:hAnsi="黑体" w:eastAsia="黑体"/>
            </w:rPr>
            <w:fldChar w:fldCharType="separate"/>
          </w:r>
          <w:r>
            <w:rPr>
              <w:rFonts w:hint="eastAsia" w:ascii="黑体" w:hAnsi="黑体" w:eastAsia="黑体"/>
              <w:szCs w:val="44"/>
              <w:highlight w:val="none"/>
            </w:rPr>
            <w:t>第</w:t>
          </w:r>
          <w:r>
            <w:rPr>
              <w:rFonts w:hint="eastAsia" w:ascii="黑体" w:hAnsi="黑体" w:eastAsia="黑体"/>
              <w:highlight w:val="none"/>
            </w:rPr>
            <w:t>五部分 附表</w:t>
          </w:r>
          <w:r>
            <w:tab/>
          </w:r>
          <w:r>
            <w:fldChar w:fldCharType="begin"/>
          </w:r>
          <w:r>
            <w:instrText xml:space="preserve"> PAGEREF _Toc28939 \h </w:instrText>
          </w:r>
          <w:r>
            <w:fldChar w:fldCharType="separate"/>
          </w:r>
          <w:r>
            <w:t>98</w:t>
          </w:r>
          <w:r>
            <w:fldChar w:fldCharType="end"/>
          </w:r>
          <w:r>
            <w:rPr>
              <w:rFonts w:hint="eastAsia" w:ascii="黑体" w:hAnsi="黑体" w:eastAsia="黑体"/>
            </w:rPr>
            <w:fldChar w:fldCharType="end"/>
          </w:r>
        </w:p>
        <w:p>
          <w:pPr>
            <w:pStyle w:val="19"/>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_Toc12804 </w:instrText>
          </w:r>
          <w:r>
            <w:rPr>
              <w:rFonts w:hint="eastAsia" w:ascii="黑体" w:hAnsi="黑体" w:eastAsia="黑体"/>
            </w:rPr>
            <w:fldChar w:fldCharType="separate"/>
          </w:r>
          <w:r>
            <w:rPr>
              <w:rFonts w:hint="eastAsia" w:ascii="仿宋_GB2312" w:hAnsi="仿宋_GB2312" w:eastAsia="仿宋_GB2312" w:cs="仿宋_GB2312"/>
              <w:highlight w:val="none"/>
            </w:rPr>
            <w:t>一、收</w:t>
          </w:r>
          <w:r>
            <w:rPr>
              <w:rFonts w:hint="eastAsia" w:ascii="仿宋_GB2312" w:hAnsi="仿宋_GB2312" w:eastAsia="仿宋_GB2312" w:cs="仿宋_GB2312"/>
              <w:bCs w:val="0"/>
              <w:highlight w:val="none"/>
            </w:rPr>
            <w:t>入支出决算总表</w:t>
          </w:r>
          <w:r>
            <w:tab/>
          </w:r>
          <w:r>
            <w:fldChar w:fldCharType="begin"/>
          </w:r>
          <w:r>
            <w:instrText xml:space="preserve"> PAGEREF _Toc12804 \h </w:instrText>
          </w:r>
          <w:r>
            <w:fldChar w:fldCharType="separate"/>
          </w:r>
          <w:r>
            <w:t>98</w:t>
          </w:r>
          <w:r>
            <w:fldChar w:fldCharType="end"/>
          </w:r>
          <w:r>
            <w:rPr>
              <w:rFonts w:hint="eastAsia" w:ascii="黑体" w:hAnsi="黑体" w:eastAsia="黑体"/>
            </w:rPr>
            <w:fldChar w:fldCharType="end"/>
          </w:r>
        </w:p>
        <w:p>
          <w:pPr>
            <w:pStyle w:val="19"/>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_Toc19098 </w:instrText>
          </w:r>
          <w:r>
            <w:rPr>
              <w:rFonts w:hint="eastAsia" w:ascii="黑体" w:hAnsi="黑体" w:eastAsia="黑体"/>
            </w:rPr>
            <w:fldChar w:fldCharType="separate"/>
          </w:r>
          <w:r>
            <w:rPr>
              <w:rFonts w:hint="eastAsia" w:ascii="仿宋_GB2312" w:hAnsi="仿宋_GB2312" w:eastAsia="仿宋_GB2312" w:cs="仿宋_GB2312"/>
              <w:highlight w:val="none"/>
            </w:rPr>
            <w:t>二、收</w:t>
          </w:r>
          <w:r>
            <w:rPr>
              <w:rFonts w:hint="eastAsia" w:ascii="仿宋_GB2312" w:hAnsi="仿宋_GB2312" w:eastAsia="仿宋_GB2312" w:cs="仿宋_GB2312"/>
              <w:bCs w:val="0"/>
              <w:highlight w:val="none"/>
            </w:rPr>
            <w:t>入决算表</w:t>
          </w:r>
          <w:r>
            <w:tab/>
          </w:r>
          <w:r>
            <w:fldChar w:fldCharType="begin"/>
          </w:r>
          <w:r>
            <w:instrText xml:space="preserve"> PAGEREF _Toc19098 \h </w:instrText>
          </w:r>
          <w:r>
            <w:fldChar w:fldCharType="separate"/>
          </w:r>
          <w:r>
            <w:t>98</w:t>
          </w:r>
          <w:r>
            <w:fldChar w:fldCharType="end"/>
          </w:r>
          <w:r>
            <w:rPr>
              <w:rFonts w:hint="eastAsia" w:ascii="黑体" w:hAnsi="黑体" w:eastAsia="黑体"/>
            </w:rPr>
            <w:fldChar w:fldCharType="end"/>
          </w:r>
        </w:p>
        <w:p>
          <w:pPr>
            <w:pStyle w:val="19"/>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_Toc21575 </w:instrText>
          </w:r>
          <w:r>
            <w:rPr>
              <w:rFonts w:hint="eastAsia" w:ascii="黑体" w:hAnsi="黑体" w:eastAsia="黑体"/>
            </w:rPr>
            <w:fldChar w:fldCharType="separate"/>
          </w:r>
          <w:r>
            <w:rPr>
              <w:rFonts w:hint="eastAsia" w:ascii="仿宋_GB2312" w:hAnsi="仿宋_GB2312" w:eastAsia="仿宋_GB2312" w:cs="仿宋_GB2312"/>
              <w:bCs w:val="0"/>
              <w:highlight w:val="none"/>
            </w:rPr>
            <w:t>三、</w:t>
          </w:r>
          <w:r>
            <w:rPr>
              <w:rFonts w:hint="eastAsia" w:ascii="仿宋_GB2312" w:hAnsi="仿宋_GB2312" w:eastAsia="仿宋_GB2312" w:cs="仿宋_GB2312"/>
              <w:highlight w:val="none"/>
            </w:rPr>
            <w:t>支</w:t>
          </w:r>
          <w:r>
            <w:rPr>
              <w:rFonts w:hint="eastAsia" w:ascii="仿宋_GB2312" w:hAnsi="仿宋_GB2312" w:eastAsia="仿宋_GB2312" w:cs="仿宋_GB2312"/>
              <w:bCs w:val="0"/>
              <w:highlight w:val="none"/>
            </w:rPr>
            <w:t>出决算表</w:t>
          </w:r>
          <w:r>
            <w:tab/>
          </w:r>
          <w:r>
            <w:fldChar w:fldCharType="begin"/>
          </w:r>
          <w:r>
            <w:instrText xml:space="preserve"> PAGEREF _Toc21575 \h </w:instrText>
          </w:r>
          <w:r>
            <w:fldChar w:fldCharType="separate"/>
          </w:r>
          <w:r>
            <w:t>98</w:t>
          </w:r>
          <w:r>
            <w:fldChar w:fldCharType="end"/>
          </w:r>
          <w:r>
            <w:rPr>
              <w:rFonts w:hint="eastAsia" w:ascii="黑体" w:hAnsi="黑体" w:eastAsia="黑体"/>
            </w:rPr>
            <w:fldChar w:fldCharType="end"/>
          </w:r>
        </w:p>
        <w:p>
          <w:pPr>
            <w:pStyle w:val="19"/>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_Toc19238 </w:instrText>
          </w:r>
          <w:r>
            <w:rPr>
              <w:rFonts w:hint="eastAsia" w:ascii="黑体" w:hAnsi="黑体" w:eastAsia="黑体"/>
            </w:rPr>
            <w:fldChar w:fldCharType="separate"/>
          </w:r>
          <w:r>
            <w:rPr>
              <w:rFonts w:hint="eastAsia" w:ascii="仿宋_GB2312" w:hAnsi="仿宋_GB2312" w:eastAsia="仿宋_GB2312" w:cs="仿宋_GB2312"/>
              <w:bCs w:val="0"/>
              <w:highlight w:val="none"/>
            </w:rPr>
            <w:t>四、</w:t>
          </w:r>
          <w:r>
            <w:rPr>
              <w:rFonts w:hint="eastAsia" w:ascii="仿宋_GB2312" w:hAnsi="仿宋_GB2312" w:eastAsia="仿宋_GB2312" w:cs="仿宋_GB2312"/>
              <w:highlight w:val="none"/>
            </w:rPr>
            <w:t>财</w:t>
          </w:r>
          <w:r>
            <w:rPr>
              <w:rFonts w:hint="eastAsia" w:ascii="仿宋_GB2312" w:hAnsi="仿宋_GB2312" w:eastAsia="仿宋_GB2312" w:cs="仿宋_GB2312"/>
              <w:bCs w:val="0"/>
              <w:highlight w:val="none"/>
            </w:rPr>
            <w:t>政拨款收入支出决算总表</w:t>
          </w:r>
          <w:r>
            <w:tab/>
          </w:r>
          <w:r>
            <w:fldChar w:fldCharType="begin"/>
          </w:r>
          <w:r>
            <w:instrText xml:space="preserve"> PAGEREF _Toc19238 \h </w:instrText>
          </w:r>
          <w:r>
            <w:fldChar w:fldCharType="separate"/>
          </w:r>
          <w:r>
            <w:t>98</w:t>
          </w:r>
          <w:r>
            <w:fldChar w:fldCharType="end"/>
          </w:r>
          <w:r>
            <w:rPr>
              <w:rFonts w:hint="eastAsia" w:ascii="黑体" w:hAnsi="黑体" w:eastAsia="黑体"/>
            </w:rPr>
            <w:fldChar w:fldCharType="end"/>
          </w:r>
        </w:p>
        <w:p>
          <w:pPr>
            <w:pStyle w:val="19"/>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_Toc16453 </w:instrText>
          </w:r>
          <w:r>
            <w:rPr>
              <w:rFonts w:hint="eastAsia" w:ascii="黑体" w:hAnsi="黑体" w:eastAsia="黑体"/>
            </w:rPr>
            <w:fldChar w:fldCharType="separate"/>
          </w:r>
          <w:r>
            <w:rPr>
              <w:rFonts w:hint="eastAsia" w:ascii="仿宋_GB2312" w:hAnsi="仿宋_GB2312" w:eastAsia="仿宋_GB2312" w:cs="仿宋_GB2312"/>
              <w:bCs w:val="0"/>
              <w:highlight w:val="none"/>
            </w:rPr>
            <w:t>五、</w:t>
          </w:r>
          <w:r>
            <w:rPr>
              <w:rFonts w:hint="eastAsia" w:ascii="仿宋_GB2312" w:hAnsi="仿宋_GB2312" w:eastAsia="仿宋_GB2312" w:cs="仿宋_GB2312"/>
              <w:highlight w:val="none"/>
            </w:rPr>
            <w:t>财</w:t>
          </w:r>
          <w:r>
            <w:rPr>
              <w:rFonts w:hint="eastAsia" w:ascii="仿宋_GB2312" w:hAnsi="仿宋_GB2312" w:eastAsia="仿宋_GB2312" w:cs="仿宋_GB2312"/>
              <w:bCs w:val="0"/>
              <w:highlight w:val="none"/>
            </w:rPr>
            <w:t>政拨款支出决算明细表</w:t>
          </w:r>
          <w:r>
            <w:tab/>
          </w:r>
          <w:r>
            <w:fldChar w:fldCharType="begin"/>
          </w:r>
          <w:r>
            <w:instrText xml:space="preserve"> PAGEREF _Toc16453 \h </w:instrText>
          </w:r>
          <w:r>
            <w:fldChar w:fldCharType="separate"/>
          </w:r>
          <w:r>
            <w:t>98</w:t>
          </w:r>
          <w:r>
            <w:fldChar w:fldCharType="end"/>
          </w:r>
          <w:r>
            <w:rPr>
              <w:rFonts w:hint="eastAsia" w:ascii="黑体" w:hAnsi="黑体" w:eastAsia="黑体"/>
            </w:rPr>
            <w:fldChar w:fldCharType="end"/>
          </w:r>
        </w:p>
        <w:p>
          <w:pPr>
            <w:pStyle w:val="19"/>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_Toc21347 </w:instrText>
          </w:r>
          <w:r>
            <w:rPr>
              <w:rFonts w:hint="eastAsia" w:ascii="黑体" w:hAnsi="黑体" w:eastAsia="黑体"/>
            </w:rPr>
            <w:fldChar w:fldCharType="separate"/>
          </w:r>
          <w:r>
            <w:rPr>
              <w:rFonts w:hint="eastAsia" w:ascii="仿宋_GB2312" w:hAnsi="仿宋_GB2312" w:eastAsia="仿宋_GB2312" w:cs="仿宋_GB2312"/>
              <w:bCs w:val="0"/>
              <w:highlight w:val="none"/>
            </w:rPr>
            <w:t>六、</w:t>
          </w:r>
          <w:r>
            <w:rPr>
              <w:rFonts w:hint="eastAsia" w:ascii="仿宋_GB2312" w:hAnsi="仿宋_GB2312" w:eastAsia="仿宋_GB2312" w:cs="仿宋_GB2312"/>
              <w:highlight w:val="none"/>
            </w:rPr>
            <w:t>一</w:t>
          </w:r>
          <w:r>
            <w:rPr>
              <w:rFonts w:hint="eastAsia" w:ascii="仿宋_GB2312" w:hAnsi="仿宋_GB2312" w:eastAsia="仿宋_GB2312" w:cs="仿宋_GB2312"/>
              <w:bCs w:val="0"/>
              <w:highlight w:val="none"/>
            </w:rPr>
            <w:t>般公共预算财政拨款支出决算表</w:t>
          </w:r>
          <w:r>
            <w:tab/>
          </w:r>
          <w:r>
            <w:fldChar w:fldCharType="begin"/>
          </w:r>
          <w:r>
            <w:instrText xml:space="preserve"> PAGEREF _Toc21347 \h </w:instrText>
          </w:r>
          <w:r>
            <w:fldChar w:fldCharType="separate"/>
          </w:r>
          <w:r>
            <w:t>98</w:t>
          </w:r>
          <w:r>
            <w:fldChar w:fldCharType="end"/>
          </w:r>
          <w:r>
            <w:rPr>
              <w:rFonts w:hint="eastAsia" w:ascii="黑体" w:hAnsi="黑体" w:eastAsia="黑体"/>
            </w:rPr>
            <w:fldChar w:fldCharType="end"/>
          </w:r>
        </w:p>
        <w:p>
          <w:pPr>
            <w:pStyle w:val="19"/>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_Toc902 </w:instrText>
          </w:r>
          <w:r>
            <w:rPr>
              <w:rFonts w:hint="eastAsia" w:ascii="黑体" w:hAnsi="黑体" w:eastAsia="黑体"/>
            </w:rPr>
            <w:fldChar w:fldCharType="separate"/>
          </w:r>
          <w:r>
            <w:rPr>
              <w:rFonts w:hint="eastAsia" w:ascii="仿宋_GB2312" w:hAnsi="仿宋_GB2312" w:eastAsia="仿宋_GB2312" w:cs="仿宋_GB2312"/>
              <w:bCs w:val="0"/>
              <w:highlight w:val="none"/>
            </w:rPr>
            <w:t>七、</w:t>
          </w:r>
          <w:r>
            <w:rPr>
              <w:rFonts w:hint="eastAsia" w:ascii="仿宋_GB2312" w:hAnsi="仿宋_GB2312" w:eastAsia="仿宋_GB2312" w:cs="仿宋_GB2312"/>
              <w:highlight w:val="none"/>
            </w:rPr>
            <w:t>一</w:t>
          </w:r>
          <w:r>
            <w:rPr>
              <w:rFonts w:hint="eastAsia" w:ascii="仿宋_GB2312" w:hAnsi="仿宋_GB2312" w:eastAsia="仿宋_GB2312" w:cs="仿宋_GB2312"/>
              <w:bCs w:val="0"/>
              <w:highlight w:val="none"/>
            </w:rPr>
            <w:t>般公共预算财政拨款支出决算明细表</w:t>
          </w:r>
          <w:r>
            <w:tab/>
          </w:r>
          <w:r>
            <w:fldChar w:fldCharType="begin"/>
          </w:r>
          <w:r>
            <w:instrText xml:space="preserve"> PAGEREF _Toc902 \h </w:instrText>
          </w:r>
          <w:r>
            <w:fldChar w:fldCharType="separate"/>
          </w:r>
          <w:r>
            <w:t>98</w:t>
          </w:r>
          <w:r>
            <w:fldChar w:fldCharType="end"/>
          </w:r>
          <w:r>
            <w:rPr>
              <w:rFonts w:hint="eastAsia" w:ascii="黑体" w:hAnsi="黑体" w:eastAsia="黑体"/>
            </w:rPr>
            <w:fldChar w:fldCharType="end"/>
          </w:r>
        </w:p>
        <w:p>
          <w:pPr>
            <w:pStyle w:val="19"/>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_Toc13269 </w:instrText>
          </w:r>
          <w:r>
            <w:rPr>
              <w:rFonts w:hint="eastAsia" w:ascii="黑体" w:hAnsi="黑体" w:eastAsia="黑体"/>
            </w:rPr>
            <w:fldChar w:fldCharType="separate"/>
          </w:r>
          <w:r>
            <w:rPr>
              <w:rFonts w:hint="eastAsia" w:ascii="仿宋_GB2312" w:hAnsi="仿宋_GB2312" w:eastAsia="仿宋_GB2312" w:cs="仿宋_GB2312"/>
              <w:bCs w:val="0"/>
              <w:highlight w:val="none"/>
            </w:rPr>
            <w:t>八、</w:t>
          </w:r>
          <w:r>
            <w:rPr>
              <w:rFonts w:hint="eastAsia" w:ascii="仿宋_GB2312" w:hAnsi="仿宋_GB2312" w:eastAsia="仿宋_GB2312" w:cs="仿宋_GB2312"/>
              <w:highlight w:val="none"/>
            </w:rPr>
            <w:t>一</w:t>
          </w:r>
          <w:r>
            <w:rPr>
              <w:rFonts w:hint="eastAsia" w:ascii="仿宋_GB2312" w:hAnsi="仿宋_GB2312" w:eastAsia="仿宋_GB2312" w:cs="仿宋_GB2312"/>
              <w:bCs w:val="0"/>
              <w:highlight w:val="none"/>
            </w:rPr>
            <w:t>般公共预算财政拨款基本支出决算表</w:t>
          </w:r>
          <w:r>
            <w:tab/>
          </w:r>
          <w:r>
            <w:fldChar w:fldCharType="begin"/>
          </w:r>
          <w:r>
            <w:instrText xml:space="preserve"> PAGEREF _Toc13269 \h </w:instrText>
          </w:r>
          <w:r>
            <w:fldChar w:fldCharType="separate"/>
          </w:r>
          <w:r>
            <w:t>98</w:t>
          </w:r>
          <w:r>
            <w:fldChar w:fldCharType="end"/>
          </w:r>
          <w:r>
            <w:rPr>
              <w:rFonts w:hint="eastAsia" w:ascii="黑体" w:hAnsi="黑体" w:eastAsia="黑体"/>
            </w:rPr>
            <w:fldChar w:fldCharType="end"/>
          </w:r>
        </w:p>
        <w:p>
          <w:pPr>
            <w:pStyle w:val="19"/>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_Toc10545 </w:instrText>
          </w:r>
          <w:r>
            <w:rPr>
              <w:rFonts w:hint="eastAsia" w:ascii="黑体" w:hAnsi="黑体" w:eastAsia="黑体"/>
            </w:rPr>
            <w:fldChar w:fldCharType="separate"/>
          </w:r>
          <w:r>
            <w:rPr>
              <w:rFonts w:hint="eastAsia" w:ascii="仿宋_GB2312" w:hAnsi="仿宋_GB2312" w:eastAsia="仿宋_GB2312" w:cs="仿宋_GB2312"/>
              <w:bCs w:val="0"/>
              <w:highlight w:val="none"/>
            </w:rPr>
            <w:t>九、</w:t>
          </w:r>
          <w:r>
            <w:rPr>
              <w:rFonts w:hint="eastAsia" w:ascii="仿宋_GB2312" w:hAnsi="仿宋_GB2312" w:eastAsia="仿宋_GB2312" w:cs="仿宋_GB2312"/>
              <w:highlight w:val="none"/>
            </w:rPr>
            <w:t>一</w:t>
          </w:r>
          <w:r>
            <w:rPr>
              <w:rFonts w:hint="eastAsia" w:ascii="仿宋_GB2312" w:hAnsi="仿宋_GB2312" w:eastAsia="仿宋_GB2312" w:cs="仿宋_GB2312"/>
              <w:bCs w:val="0"/>
              <w:highlight w:val="none"/>
            </w:rPr>
            <w:t>般公共预算财政拨款项目支出决算表</w:t>
          </w:r>
          <w:r>
            <w:tab/>
          </w:r>
          <w:r>
            <w:fldChar w:fldCharType="begin"/>
          </w:r>
          <w:r>
            <w:instrText xml:space="preserve"> PAGEREF _Toc10545 \h </w:instrText>
          </w:r>
          <w:r>
            <w:fldChar w:fldCharType="separate"/>
          </w:r>
          <w:r>
            <w:t>98</w:t>
          </w:r>
          <w:r>
            <w:fldChar w:fldCharType="end"/>
          </w:r>
          <w:r>
            <w:rPr>
              <w:rFonts w:hint="eastAsia" w:ascii="黑体" w:hAnsi="黑体" w:eastAsia="黑体"/>
            </w:rPr>
            <w:fldChar w:fldCharType="end"/>
          </w:r>
        </w:p>
        <w:p>
          <w:pPr>
            <w:pStyle w:val="19"/>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_Toc7408 </w:instrText>
          </w:r>
          <w:r>
            <w:rPr>
              <w:rFonts w:hint="eastAsia" w:ascii="黑体" w:hAnsi="黑体" w:eastAsia="黑体"/>
            </w:rPr>
            <w:fldChar w:fldCharType="separate"/>
          </w:r>
          <w:r>
            <w:rPr>
              <w:rFonts w:hint="eastAsia" w:ascii="仿宋_GB2312" w:hAnsi="仿宋_GB2312" w:eastAsia="仿宋_GB2312" w:cs="仿宋_GB2312"/>
              <w:bCs w:val="0"/>
              <w:highlight w:val="none"/>
            </w:rPr>
            <w:t>十、</w:t>
          </w:r>
          <w:r>
            <w:rPr>
              <w:rFonts w:hint="eastAsia" w:ascii="仿宋_GB2312" w:hAnsi="仿宋_GB2312" w:eastAsia="仿宋_GB2312" w:cs="仿宋_GB2312"/>
              <w:highlight w:val="none"/>
            </w:rPr>
            <w:t>政</w:t>
          </w:r>
          <w:r>
            <w:rPr>
              <w:rFonts w:hint="eastAsia" w:ascii="仿宋_GB2312" w:hAnsi="仿宋_GB2312" w:eastAsia="仿宋_GB2312" w:cs="仿宋_GB2312"/>
              <w:bCs w:val="0"/>
              <w:highlight w:val="none"/>
            </w:rPr>
            <w:t>府性基金预算财政拨款收入支出决算表</w:t>
          </w:r>
          <w:r>
            <w:tab/>
          </w:r>
          <w:r>
            <w:fldChar w:fldCharType="begin"/>
          </w:r>
          <w:r>
            <w:instrText xml:space="preserve"> PAGEREF _Toc7408 \h </w:instrText>
          </w:r>
          <w:r>
            <w:fldChar w:fldCharType="separate"/>
          </w:r>
          <w:r>
            <w:t>98</w:t>
          </w:r>
          <w:r>
            <w:fldChar w:fldCharType="end"/>
          </w:r>
          <w:r>
            <w:rPr>
              <w:rFonts w:hint="eastAsia" w:ascii="黑体" w:hAnsi="黑体" w:eastAsia="黑体"/>
            </w:rPr>
            <w:fldChar w:fldCharType="end"/>
          </w:r>
        </w:p>
        <w:p>
          <w:pPr>
            <w:pStyle w:val="19"/>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_Toc21038 </w:instrText>
          </w:r>
          <w:r>
            <w:rPr>
              <w:rFonts w:hint="eastAsia" w:ascii="黑体" w:hAnsi="黑体" w:eastAsia="黑体"/>
            </w:rPr>
            <w:fldChar w:fldCharType="separate"/>
          </w:r>
          <w:r>
            <w:rPr>
              <w:rFonts w:hint="eastAsia" w:ascii="仿宋_GB2312" w:hAnsi="仿宋_GB2312" w:eastAsia="仿宋_GB2312" w:cs="仿宋_GB2312"/>
              <w:bCs w:val="0"/>
              <w:highlight w:val="none"/>
            </w:rPr>
            <w:t>十一、</w:t>
          </w:r>
          <w:r>
            <w:rPr>
              <w:rFonts w:hint="eastAsia" w:ascii="仿宋_GB2312" w:hAnsi="仿宋_GB2312" w:eastAsia="仿宋_GB2312" w:cs="仿宋_GB2312"/>
              <w:highlight w:val="none"/>
            </w:rPr>
            <w:t>国</w:t>
          </w:r>
          <w:r>
            <w:rPr>
              <w:rFonts w:hint="eastAsia" w:ascii="仿宋_GB2312" w:hAnsi="仿宋_GB2312" w:eastAsia="仿宋_GB2312" w:cs="仿宋_GB2312"/>
              <w:bCs w:val="0"/>
              <w:highlight w:val="none"/>
            </w:rPr>
            <w:t>有资本经营预算</w:t>
          </w:r>
          <w:r>
            <w:rPr>
              <w:rFonts w:hint="eastAsia" w:ascii="仿宋_GB2312" w:hAnsi="仿宋_GB2312" w:eastAsia="仿宋_GB2312" w:cs="仿宋_GB2312"/>
              <w:bCs w:val="0"/>
              <w:highlight w:val="none"/>
              <w:lang w:eastAsia="zh-CN"/>
            </w:rPr>
            <w:t>财政拨款收入</w:t>
          </w:r>
          <w:r>
            <w:rPr>
              <w:rFonts w:hint="eastAsia" w:ascii="仿宋_GB2312" w:hAnsi="仿宋_GB2312" w:eastAsia="仿宋_GB2312" w:cs="仿宋_GB2312"/>
              <w:bCs w:val="0"/>
              <w:highlight w:val="none"/>
            </w:rPr>
            <w:t>支出决算表</w:t>
          </w:r>
          <w:r>
            <w:tab/>
          </w:r>
          <w:r>
            <w:fldChar w:fldCharType="begin"/>
          </w:r>
          <w:r>
            <w:instrText xml:space="preserve"> PAGEREF _Toc21038 \h </w:instrText>
          </w:r>
          <w:r>
            <w:fldChar w:fldCharType="separate"/>
          </w:r>
          <w:r>
            <w:t>98</w:t>
          </w:r>
          <w:r>
            <w:fldChar w:fldCharType="end"/>
          </w:r>
          <w:r>
            <w:rPr>
              <w:rFonts w:hint="eastAsia" w:ascii="黑体" w:hAnsi="黑体" w:eastAsia="黑体"/>
            </w:rPr>
            <w:fldChar w:fldCharType="end"/>
          </w:r>
        </w:p>
        <w:p>
          <w:pPr>
            <w:pStyle w:val="19"/>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_Toc7479 </w:instrText>
          </w:r>
          <w:r>
            <w:rPr>
              <w:rFonts w:hint="eastAsia" w:ascii="黑体" w:hAnsi="黑体" w:eastAsia="黑体"/>
            </w:rPr>
            <w:fldChar w:fldCharType="separate"/>
          </w:r>
          <w:r>
            <w:rPr>
              <w:rFonts w:hint="eastAsia" w:ascii="仿宋_GB2312" w:hAnsi="仿宋_GB2312" w:eastAsia="仿宋_GB2312" w:cs="仿宋_GB2312"/>
              <w:bCs w:val="0"/>
              <w:highlight w:val="none"/>
            </w:rPr>
            <w:t>十二、</w:t>
          </w:r>
          <w:r>
            <w:rPr>
              <w:rFonts w:hint="eastAsia" w:ascii="仿宋_GB2312" w:hAnsi="仿宋_GB2312" w:eastAsia="仿宋_GB2312" w:cs="仿宋_GB2312"/>
              <w:bCs w:val="0"/>
              <w:highlight w:val="none"/>
              <w:lang w:eastAsia="zh-CN"/>
            </w:rPr>
            <w:t>国有资本经营预算财政拨款支出决算表</w:t>
          </w:r>
          <w:r>
            <w:tab/>
          </w:r>
          <w:r>
            <w:fldChar w:fldCharType="begin"/>
          </w:r>
          <w:r>
            <w:instrText xml:space="preserve"> PAGEREF _Toc7479 \h </w:instrText>
          </w:r>
          <w:r>
            <w:fldChar w:fldCharType="separate"/>
          </w:r>
          <w:r>
            <w:t>98</w:t>
          </w:r>
          <w:r>
            <w:fldChar w:fldCharType="end"/>
          </w:r>
          <w:r>
            <w:rPr>
              <w:rFonts w:hint="eastAsia" w:ascii="黑体" w:hAnsi="黑体" w:eastAsia="黑体"/>
            </w:rPr>
            <w:fldChar w:fldCharType="end"/>
          </w:r>
        </w:p>
        <w:p>
          <w:pPr>
            <w:pStyle w:val="19"/>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_Toc26431 </w:instrText>
          </w:r>
          <w:r>
            <w:rPr>
              <w:rFonts w:hint="eastAsia" w:ascii="黑体" w:hAnsi="黑体" w:eastAsia="黑体"/>
            </w:rPr>
            <w:fldChar w:fldCharType="separate"/>
          </w:r>
          <w:r>
            <w:rPr>
              <w:rFonts w:hint="eastAsia" w:ascii="仿宋_GB2312" w:hAnsi="仿宋_GB2312" w:eastAsia="仿宋_GB2312" w:cs="仿宋_GB2312"/>
              <w:bCs w:val="0"/>
              <w:highlight w:val="none"/>
            </w:rPr>
            <w:t>十三、</w:t>
          </w:r>
          <w:r>
            <w:rPr>
              <w:rFonts w:hint="eastAsia" w:ascii="仿宋_GB2312" w:hAnsi="仿宋_GB2312" w:eastAsia="仿宋_GB2312" w:cs="仿宋_GB2312"/>
              <w:bCs w:val="0"/>
              <w:highlight w:val="none"/>
              <w:lang w:eastAsia="zh-CN"/>
            </w:rPr>
            <w:t>财政拨款“三公”经费支出决算表</w:t>
          </w:r>
          <w:r>
            <w:tab/>
          </w:r>
          <w:r>
            <w:fldChar w:fldCharType="begin"/>
          </w:r>
          <w:r>
            <w:instrText xml:space="preserve"> PAGEREF _Toc26431 \h </w:instrText>
          </w:r>
          <w:r>
            <w:fldChar w:fldCharType="separate"/>
          </w:r>
          <w:r>
            <w:t>98</w:t>
          </w:r>
          <w:r>
            <w:fldChar w:fldCharType="end"/>
          </w:r>
          <w:r>
            <w:rPr>
              <w:rFonts w:hint="eastAsia" w:ascii="黑体" w:hAnsi="黑体" w:eastAsia="黑体"/>
            </w:rPr>
            <w:fldChar w:fldCharType="end"/>
          </w:r>
        </w:p>
        <w:p>
          <w:pPr>
            <w:pStyle w:val="19"/>
            <w:tabs>
              <w:tab w:val="right" w:leader="dot" w:pos="8306"/>
              <w:tab w:val="clear" w:pos="8296"/>
            </w:tabs>
            <w:rPr>
              <w:rFonts w:ascii="黑体" w:hAnsi="黑体" w:eastAsia="黑体"/>
              <w:b/>
              <w:bCs/>
              <w:kern w:val="44"/>
              <w:sz w:val="44"/>
              <w:szCs w:val="44"/>
            </w:rPr>
          </w:pPr>
          <w:r>
            <w:rPr>
              <w:rFonts w:hint="eastAsia" w:ascii="黑体" w:hAnsi="黑体" w:eastAsia="黑体"/>
            </w:rPr>
            <w:fldChar w:fldCharType="end"/>
          </w:r>
        </w:p>
      </w:sdtContent>
    </w:sdt>
    <w:p>
      <w:pPr>
        <w:pStyle w:val="3"/>
        <w:jc w:val="center"/>
        <w:rPr>
          <w:rFonts w:hint="eastAsia" w:ascii="黑体" w:hAnsi="黑体" w:eastAsia="黑体"/>
          <w:b w:val="0"/>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pStyle w:val="3"/>
        <w:jc w:val="center"/>
        <w:rPr>
          <w:rStyle w:val="30"/>
          <w:rFonts w:ascii="黑体" w:hAnsi="黑体" w:eastAsia="黑体"/>
          <w:b/>
          <w:bCs w:val="0"/>
        </w:rPr>
      </w:pPr>
      <w:bookmarkStart w:id="16" w:name="_Toc10003"/>
      <w:r>
        <w:rPr>
          <w:rFonts w:hint="eastAsia" w:ascii="黑体" w:hAnsi="黑体" w:eastAsia="黑体"/>
          <w:b w:val="0"/>
        </w:rPr>
        <w:t xml:space="preserve">第一部分 </w:t>
      </w:r>
      <w:r>
        <w:rPr>
          <w:rStyle w:val="30"/>
          <w:rFonts w:hint="eastAsia" w:ascii="黑体" w:hAnsi="黑体" w:eastAsia="黑体"/>
          <w:b w:val="0"/>
          <w:bCs w:val="0"/>
        </w:rPr>
        <w:t>部门概况</w:t>
      </w:r>
      <w:bookmarkEnd w:id="14"/>
      <w:bookmarkEnd w:id="15"/>
      <w:bookmarkEnd w:id="16"/>
    </w:p>
    <w:p>
      <w:pPr>
        <w:pStyle w:val="4"/>
        <w:pageBreakBefore w:val="0"/>
        <w:widowControl w:val="0"/>
        <w:numPr>
          <w:ilvl w:val="0"/>
          <w:numId w:val="1"/>
        </w:numPr>
        <w:kinsoku/>
        <w:wordWrap/>
        <w:overflowPunct/>
        <w:topLinePunct w:val="0"/>
        <w:autoSpaceDE/>
        <w:autoSpaceDN/>
        <w:bidi w:val="0"/>
        <w:spacing w:line="576" w:lineRule="exact"/>
        <w:textAlignment w:val="auto"/>
        <w:rPr>
          <w:rFonts w:ascii="黑体" w:hAnsi="黑体" w:eastAsia="黑体"/>
          <w:b w:val="0"/>
        </w:rPr>
      </w:pPr>
      <w:bookmarkStart w:id="17" w:name="_Toc28802"/>
      <w:r>
        <w:rPr>
          <w:rFonts w:hint="eastAsia" w:ascii="黑体" w:hAnsi="黑体" w:eastAsia="黑体"/>
          <w:b w:val="0"/>
        </w:rPr>
        <w:t>部门职责</w:t>
      </w:r>
      <w:bookmarkEnd w:id="17"/>
    </w:p>
    <w:p>
      <w:pPr>
        <w:keepNext/>
        <w:keepLines/>
        <w:pageBreakBefore w:val="0"/>
        <w:widowControl w:val="0"/>
        <w:kinsoku/>
        <w:wordWrap/>
        <w:overflowPunct/>
        <w:topLinePunct w:val="0"/>
        <w:autoSpaceDE/>
        <w:autoSpaceDN/>
        <w:bidi w:val="0"/>
        <w:spacing w:before="260" w:after="260" w:line="576" w:lineRule="exact"/>
        <w:ind w:firstLine="640"/>
        <w:textAlignment w:val="auto"/>
        <w:rPr>
          <w:rFonts w:ascii="仿宋_GB2312" w:hAnsi="仿宋_GB2312" w:eastAsia="仿宋_GB2312"/>
          <w:sz w:val="32"/>
        </w:rPr>
      </w:pPr>
      <w:r>
        <w:rPr>
          <w:rFonts w:hint="eastAsia"/>
        </w:rPr>
        <w:t xml:space="preserve"> </w:t>
      </w:r>
      <w:r>
        <w:rPr>
          <w:rFonts w:hint="eastAsia" w:ascii="仿宋_GB2312" w:hAnsi="仿宋_GB2312" w:eastAsia="仿宋_GB2312"/>
          <w:sz w:val="32"/>
        </w:rPr>
        <w:t>广元市民政局（简称市民政局）是广元市人民政府的工作部门，为正县级。市民政局贯彻落实党中央关于民政工作的方针政策和省委、市委的决策部署，在履行职责过程中坚持和加强党对民政工作的集中统一领导。主要职责是：</w:t>
      </w:r>
    </w:p>
    <w:p>
      <w:pPr>
        <w:keepNext/>
        <w:keepLines/>
        <w:pageBreakBefore w:val="0"/>
        <w:widowControl w:val="0"/>
        <w:kinsoku/>
        <w:wordWrap/>
        <w:overflowPunct/>
        <w:topLinePunct w:val="0"/>
        <w:autoSpaceDE/>
        <w:autoSpaceDN/>
        <w:bidi w:val="0"/>
        <w:spacing w:before="260" w:after="260" w:line="576" w:lineRule="exact"/>
        <w:ind w:firstLine="640"/>
        <w:textAlignment w:val="auto"/>
        <w:rPr>
          <w:rFonts w:ascii="仿宋_GB2312" w:hAnsi="仿宋_GB2312" w:eastAsia="仿宋_GB2312"/>
          <w:sz w:val="32"/>
        </w:rPr>
      </w:pPr>
      <w:r>
        <w:rPr>
          <w:rFonts w:hint="eastAsia" w:ascii="仿宋_GB2312" w:hAnsi="仿宋_GB2312" w:eastAsia="仿宋_GB2312"/>
          <w:sz w:val="32"/>
        </w:rPr>
        <w:t>1.起草民政工作地方性法规、规章草案，拟订全市民政事业发展规划、政策、标准并组织实施。</w:t>
      </w:r>
    </w:p>
    <w:p>
      <w:pPr>
        <w:keepNext/>
        <w:keepLines/>
        <w:pageBreakBefore w:val="0"/>
        <w:widowControl w:val="0"/>
        <w:kinsoku/>
        <w:wordWrap/>
        <w:overflowPunct/>
        <w:topLinePunct w:val="0"/>
        <w:autoSpaceDE/>
        <w:autoSpaceDN/>
        <w:bidi w:val="0"/>
        <w:spacing w:before="260" w:after="260" w:line="576" w:lineRule="exact"/>
        <w:ind w:firstLine="640"/>
        <w:textAlignment w:val="auto"/>
        <w:rPr>
          <w:rFonts w:ascii="仿宋_GB2312" w:hAnsi="仿宋_GB2312" w:eastAsia="仿宋_GB2312"/>
          <w:sz w:val="32"/>
        </w:rPr>
      </w:pPr>
      <w:r>
        <w:rPr>
          <w:rFonts w:hint="eastAsia" w:ascii="仿宋_GB2312" w:hAnsi="仿宋_GB2312" w:eastAsia="仿宋_GB2312"/>
          <w:sz w:val="32"/>
        </w:rPr>
        <w:t>2.拟订社会团体、社会服务机构等社会组织登记和监督管理办法并组织实施，依法对社会组织进行登记管理和执法监督。</w:t>
      </w:r>
    </w:p>
    <w:p>
      <w:pPr>
        <w:keepNext/>
        <w:keepLines/>
        <w:pageBreakBefore w:val="0"/>
        <w:widowControl w:val="0"/>
        <w:kinsoku/>
        <w:wordWrap/>
        <w:overflowPunct/>
        <w:topLinePunct w:val="0"/>
        <w:autoSpaceDE/>
        <w:autoSpaceDN/>
        <w:bidi w:val="0"/>
        <w:spacing w:before="260" w:after="260" w:line="576" w:lineRule="exact"/>
        <w:ind w:firstLine="640"/>
        <w:textAlignment w:val="auto"/>
        <w:rPr>
          <w:rFonts w:ascii="仿宋_GB2312" w:hAnsi="仿宋_GB2312" w:eastAsia="仿宋_GB2312"/>
          <w:sz w:val="32"/>
        </w:rPr>
      </w:pPr>
      <w:r>
        <w:rPr>
          <w:rFonts w:hint="eastAsia" w:ascii="仿宋_GB2312" w:hAnsi="仿宋_GB2312" w:eastAsia="仿宋_GB2312"/>
          <w:sz w:val="32"/>
        </w:rPr>
        <w:t>3.牵头拟订全市社会救助规划、政策、标准，统筹推进社会救助体系建设，负责城乡居民最低生活保障、特困人员救助供养、临时救助、生活无着流浪乞讨人员救助工作。</w:t>
      </w:r>
    </w:p>
    <w:p>
      <w:pPr>
        <w:keepNext/>
        <w:keepLines/>
        <w:pageBreakBefore w:val="0"/>
        <w:widowControl w:val="0"/>
        <w:kinsoku/>
        <w:wordWrap/>
        <w:overflowPunct/>
        <w:topLinePunct w:val="0"/>
        <w:autoSpaceDE/>
        <w:autoSpaceDN/>
        <w:bidi w:val="0"/>
        <w:spacing w:before="260" w:after="260" w:line="576" w:lineRule="exact"/>
        <w:ind w:firstLine="640"/>
        <w:textAlignment w:val="auto"/>
        <w:rPr>
          <w:rFonts w:ascii="仿宋_GB2312" w:hAnsi="仿宋_GB2312" w:eastAsia="仿宋_GB2312"/>
          <w:sz w:val="32"/>
        </w:rPr>
      </w:pPr>
      <w:r>
        <w:rPr>
          <w:rFonts w:hint="eastAsia" w:ascii="仿宋_GB2312" w:hAnsi="仿宋_GB2312" w:eastAsia="仿宋_GB2312"/>
          <w:sz w:val="32"/>
        </w:rPr>
        <w:t>4.拟订城乡基层群众自治建设和社区治理政策，指导城乡社区治理体系、服务体系和治理能力建设，提出加强和改进城乡基层政权建设的建议，推动基层民主政治建设。</w:t>
      </w:r>
    </w:p>
    <w:p>
      <w:pPr>
        <w:keepNext/>
        <w:keepLines/>
        <w:pageBreakBefore w:val="0"/>
        <w:widowControl w:val="0"/>
        <w:kinsoku/>
        <w:wordWrap/>
        <w:overflowPunct/>
        <w:topLinePunct w:val="0"/>
        <w:autoSpaceDE/>
        <w:autoSpaceDN/>
        <w:bidi w:val="0"/>
        <w:spacing w:before="260" w:after="260" w:line="576" w:lineRule="exact"/>
        <w:ind w:firstLine="640"/>
        <w:textAlignment w:val="auto"/>
        <w:rPr>
          <w:rFonts w:ascii="仿宋_GB2312" w:hAnsi="仿宋_GB2312" w:eastAsia="仿宋_GB2312"/>
          <w:sz w:val="32"/>
        </w:rPr>
      </w:pPr>
      <w:r>
        <w:rPr>
          <w:rFonts w:hint="eastAsia" w:ascii="仿宋_GB2312" w:hAnsi="仿宋_GB2312" w:eastAsia="仿宋_GB2312"/>
          <w:sz w:val="32"/>
        </w:rPr>
        <w:t>5.拟订行政区划管理政策和行政区域界线、地名管理办法，负责全市乡镇以上行政区划设立、命名、撤销、变更和政府驻地迁移审核报批工作，组织并指导全市行政区域界线的勘定、管理工作，调处行政区域边界争议，负责地名管理工作。</w:t>
      </w:r>
    </w:p>
    <w:p>
      <w:pPr>
        <w:keepNext/>
        <w:keepLines/>
        <w:pageBreakBefore w:val="0"/>
        <w:widowControl w:val="0"/>
        <w:kinsoku/>
        <w:wordWrap/>
        <w:overflowPunct/>
        <w:topLinePunct w:val="0"/>
        <w:autoSpaceDE/>
        <w:autoSpaceDN/>
        <w:bidi w:val="0"/>
        <w:spacing w:before="260" w:after="260" w:line="576" w:lineRule="exact"/>
        <w:ind w:firstLine="640"/>
        <w:textAlignment w:val="auto"/>
        <w:rPr>
          <w:rFonts w:ascii="仿宋_GB2312" w:hAnsi="仿宋_GB2312" w:eastAsia="仿宋_GB2312"/>
          <w:sz w:val="32"/>
        </w:rPr>
      </w:pPr>
      <w:r>
        <w:rPr>
          <w:rFonts w:hint="eastAsia" w:ascii="仿宋_GB2312" w:hAnsi="仿宋_GB2312" w:eastAsia="仿宋_GB2312"/>
          <w:sz w:val="32"/>
        </w:rPr>
        <w:t>6.拟订婚姻管理政策并组织实施，指导县（区）婚姻登记工作，推进婚俗改革。</w:t>
      </w:r>
    </w:p>
    <w:p>
      <w:pPr>
        <w:keepNext/>
        <w:keepLines/>
        <w:pageBreakBefore w:val="0"/>
        <w:widowControl w:val="0"/>
        <w:kinsoku/>
        <w:wordWrap/>
        <w:overflowPunct/>
        <w:topLinePunct w:val="0"/>
        <w:autoSpaceDE/>
        <w:autoSpaceDN/>
        <w:bidi w:val="0"/>
        <w:spacing w:before="260" w:after="260" w:line="576" w:lineRule="exact"/>
        <w:ind w:firstLine="640"/>
        <w:textAlignment w:val="auto"/>
        <w:rPr>
          <w:rFonts w:ascii="仿宋_GB2312" w:hAnsi="仿宋_GB2312" w:eastAsia="仿宋_GB2312"/>
          <w:sz w:val="32"/>
        </w:rPr>
      </w:pPr>
      <w:r>
        <w:rPr>
          <w:rFonts w:hint="eastAsia" w:ascii="仿宋_GB2312" w:hAnsi="仿宋_GB2312" w:eastAsia="仿宋_GB2312"/>
          <w:sz w:val="32"/>
        </w:rPr>
        <w:t>7.拟订殡葬管理政策、服务规范并组织实施，负责殡葬管理工作，推进殡葬改革。</w:t>
      </w:r>
    </w:p>
    <w:p>
      <w:pPr>
        <w:keepNext/>
        <w:keepLines/>
        <w:pageBreakBefore w:val="0"/>
        <w:widowControl w:val="0"/>
        <w:kinsoku/>
        <w:wordWrap/>
        <w:overflowPunct/>
        <w:topLinePunct w:val="0"/>
        <w:autoSpaceDE/>
        <w:autoSpaceDN/>
        <w:bidi w:val="0"/>
        <w:spacing w:before="260" w:after="260" w:line="576" w:lineRule="exact"/>
        <w:ind w:firstLine="640"/>
        <w:textAlignment w:val="auto"/>
        <w:rPr>
          <w:rFonts w:ascii="仿宋_GB2312" w:hAnsi="仿宋_GB2312" w:eastAsia="仿宋_GB2312"/>
          <w:sz w:val="32"/>
        </w:rPr>
      </w:pPr>
      <w:r>
        <w:rPr>
          <w:rFonts w:hint="eastAsia" w:ascii="仿宋_GB2312" w:hAnsi="仿宋_GB2312" w:eastAsia="仿宋_GB2312"/>
          <w:sz w:val="32"/>
        </w:rPr>
        <w:t>8.拟订社会福利事业发展规划、政策、标准，拟订社会福利机构管理办法并指导实施，执行残疾人权益保护政策并监督实施。负责康复辅助器具行业管理，统筹推进残疾人福利制度建设和康复辅助器具产业发展。</w:t>
      </w:r>
    </w:p>
    <w:p>
      <w:pPr>
        <w:keepNext/>
        <w:keepLines/>
        <w:pageBreakBefore w:val="0"/>
        <w:widowControl w:val="0"/>
        <w:kinsoku/>
        <w:wordWrap/>
        <w:overflowPunct/>
        <w:topLinePunct w:val="0"/>
        <w:autoSpaceDE/>
        <w:autoSpaceDN/>
        <w:bidi w:val="0"/>
        <w:spacing w:before="260" w:after="260" w:line="576" w:lineRule="exact"/>
        <w:ind w:firstLine="640"/>
        <w:textAlignment w:val="auto"/>
        <w:rPr>
          <w:rFonts w:ascii="仿宋_GB2312" w:hAnsi="仿宋_GB2312" w:eastAsia="仿宋_GB2312"/>
          <w:sz w:val="32"/>
        </w:rPr>
      </w:pPr>
      <w:r>
        <w:rPr>
          <w:rFonts w:hint="eastAsia" w:ascii="仿宋_GB2312" w:hAnsi="仿宋_GB2312" w:eastAsia="仿宋_GB2312"/>
          <w:sz w:val="32"/>
        </w:rPr>
        <w:t>9.统筹推进、督促指导、监督管理养老服务工作，拟订养老服务体系建设规划、政策、标准并组织实施，承担老年人福利和特殊困难老年人救助工作，协调推进农村留守老年人关爱服务工作，承担城乡老年社会组织管理工作。</w:t>
      </w:r>
    </w:p>
    <w:p>
      <w:pPr>
        <w:keepNext/>
        <w:keepLines/>
        <w:pageBreakBefore w:val="0"/>
        <w:widowControl w:val="0"/>
        <w:kinsoku/>
        <w:wordWrap/>
        <w:overflowPunct/>
        <w:topLinePunct w:val="0"/>
        <w:autoSpaceDE/>
        <w:autoSpaceDN/>
        <w:bidi w:val="0"/>
        <w:spacing w:before="260" w:after="260" w:line="576" w:lineRule="exact"/>
        <w:ind w:firstLine="640"/>
        <w:textAlignment w:val="auto"/>
        <w:rPr>
          <w:rFonts w:ascii="仿宋_GB2312" w:hAnsi="仿宋_GB2312" w:eastAsia="仿宋_GB2312"/>
          <w:sz w:val="32"/>
        </w:rPr>
      </w:pPr>
      <w:r>
        <w:rPr>
          <w:rFonts w:hint="eastAsia" w:ascii="仿宋_GB2312" w:hAnsi="仿宋_GB2312" w:eastAsia="仿宋_GB2312"/>
          <w:sz w:val="32"/>
        </w:rPr>
        <w:t>10.拟订儿童福利、孤弃儿童保障、儿童收养、儿童救助保护政策和标准并组织实施，健全农村留守儿童关爱服务体系和困境儿童保障制度，指导全市儿童收养登记管理工作。</w:t>
      </w:r>
    </w:p>
    <w:p>
      <w:pPr>
        <w:keepNext/>
        <w:keepLines/>
        <w:pageBreakBefore w:val="0"/>
        <w:widowControl w:val="0"/>
        <w:kinsoku/>
        <w:wordWrap/>
        <w:overflowPunct/>
        <w:topLinePunct w:val="0"/>
        <w:autoSpaceDE/>
        <w:autoSpaceDN/>
        <w:bidi w:val="0"/>
        <w:spacing w:before="260" w:after="260" w:line="576" w:lineRule="exact"/>
        <w:ind w:firstLine="640"/>
        <w:textAlignment w:val="auto"/>
        <w:rPr>
          <w:rFonts w:ascii="仿宋_GB2312" w:hAnsi="仿宋_GB2312" w:eastAsia="仿宋_GB2312"/>
          <w:sz w:val="32"/>
        </w:rPr>
      </w:pPr>
      <w:r>
        <w:rPr>
          <w:rFonts w:hint="eastAsia" w:ascii="仿宋_GB2312" w:hAnsi="仿宋_GB2312" w:eastAsia="仿宋_GB2312"/>
          <w:sz w:val="32"/>
        </w:rPr>
        <w:t>11.组织拟订促进慈善事业发展政策，指导社会捐助工作。负责福利彩票管理工作。</w:t>
      </w:r>
    </w:p>
    <w:p>
      <w:pPr>
        <w:keepNext/>
        <w:keepLines/>
        <w:pageBreakBefore w:val="0"/>
        <w:widowControl w:val="0"/>
        <w:kinsoku/>
        <w:wordWrap/>
        <w:overflowPunct/>
        <w:topLinePunct w:val="0"/>
        <w:autoSpaceDE/>
        <w:autoSpaceDN/>
        <w:bidi w:val="0"/>
        <w:spacing w:before="260" w:after="260" w:line="576" w:lineRule="exact"/>
        <w:ind w:firstLine="640"/>
        <w:textAlignment w:val="auto"/>
        <w:rPr>
          <w:rFonts w:ascii="仿宋_GB2312" w:hAnsi="仿宋_GB2312" w:eastAsia="仿宋_GB2312"/>
          <w:sz w:val="32"/>
        </w:rPr>
      </w:pPr>
      <w:r>
        <w:rPr>
          <w:rFonts w:hint="eastAsia" w:ascii="仿宋_GB2312" w:hAnsi="仿宋_GB2312" w:eastAsia="仿宋_GB2312"/>
          <w:sz w:val="32"/>
        </w:rPr>
        <w:t>12.拟订社会工作、志愿服务政策和标准，承担本行政区域内志愿服务行政管理工作，会同有关部门推进社会工作人才队伍建设和志愿者队伍建设。</w:t>
      </w:r>
    </w:p>
    <w:p>
      <w:pPr>
        <w:keepNext/>
        <w:keepLines/>
        <w:pageBreakBefore w:val="0"/>
        <w:widowControl w:val="0"/>
        <w:kinsoku/>
        <w:wordWrap/>
        <w:overflowPunct/>
        <w:topLinePunct w:val="0"/>
        <w:autoSpaceDE/>
        <w:autoSpaceDN/>
        <w:bidi w:val="0"/>
        <w:spacing w:before="260" w:after="260" w:line="576" w:lineRule="exact"/>
        <w:ind w:firstLine="640"/>
        <w:textAlignment w:val="auto"/>
        <w:rPr>
          <w:rFonts w:ascii="仿宋_GB2312" w:hAnsi="仿宋_GB2312" w:eastAsia="仿宋_GB2312"/>
          <w:sz w:val="32"/>
        </w:rPr>
      </w:pPr>
      <w:r>
        <w:rPr>
          <w:rFonts w:hint="eastAsia" w:ascii="仿宋_GB2312" w:hAnsi="仿宋_GB2312" w:eastAsia="仿宋_GB2312"/>
          <w:sz w:val="32"/>
        </w:rPr>
        <w:t>13.依法依规负责康复辅助器具行业和社会福利、养老服务、殡葬服务、救助管理机构安全生产监督管理工作。负责职责范围内的职业健康、生态环境保护、审批服务便民化等工作。</w:t>
      </w:r>
    </w:p>
    <w:p>
      <w:pPr>
        <w:keepNext/>
        <w:keepLines/>
        <w:pageBreakBefore w:val="0"/>
        <w:widowControl w:val="0"/>
        <w:kinsoku/>
        <w:wordWrap/>
        <w:overflowPunct/>
        <w:topLinePunct w:val="0"/>
        <w:autoSpaceDE/>
        <w:autoSpaceDN/>
        <w:bidi w:val="0"/>
        <w:spacing w:before="260" w:after="260" w:line="576" w:lineRule="exact"/>
        <w:ind w:firstLine="640"/>
        <w:textAlignment w:val="auto"/>
        <w:rPr>
          <w:rFonts w:ascii="仿宋_GB2312" w:hAnsi="仿宋_GB2312" w:eastAsia="仿宋_GB2312"/>
          <w:sz w:val="32"/>
        </w:rPr>
      </w:pPr>
      <w:r>
        <w:rPr>
          <w:rFonts w:hint="eastAsia" w:ascii="仿宋_GB2312" w:hAnsi="仿宋_GB2312" w:eastAsia="仿宋_GB2312"/>
          <w:sz w:val="32"/>
        </w:rPr>
        <w:t>14.负责指导、管理、监督无业务主管单位的全市性社会团体、社会服务机构的党建工作。</w:t>
      </w:r>
    </w:p>
    <w:p>
      <w:pPr>
        <w:pStyle w:val="7"/>
        <w:pageBreakBefore w:val="0"/>
        <w:widowControl w:val="0"/>
        <w:kinsoku/>
        <w:wordWrap/>
        <w:overflowPunct/>
        <w:topLinePunct w:val="0"/>
        <w:autoSpaceDE/>
        <w:autoSpaceDN/>
        <w:bidi w:val="0"/>
        <w:spacing w:line="576" w:lineRule="exact"/>
        <w:textAlignment w:val="auto"/>
        <w:rPr>
          <w:rFonts w:hint="eastAsia" w:ascii="仿宋_GB2312" w:hAnsi="仿宋_GB2312" w:eastAsia="仿宋_GB2312" w:cs="仿宋_GB2312"/>
        </w:rPr>
      </w:pPr>
      <w:r>
        <w:rPr>
          <w:rFonts w:hint="eastAsia" w:ascii="仿宋_GB2312" w:hAnsi="仿宋_GB2312" w:eastAsia="仿宋_GB2312" w:cs="仿宋_GB2312"/>
        </w:rPr>
        <w:t>15.完成市委、市政府交办的其他任务。</w:t>
      </w:r>
    </w:p>
    <w:p>
      <w:pPr>
        <w:pageBreakBefore w:val="0"/>
        <w:widowControl w:val="0"/>
        <w:kinsoku/>
        <w:wordWrap/>
        <w:overflowPunct/>
        <w:topLinePunct w:val="0"/>
        <w:autoSpaceDE/>
        <w:autoSpaceDN/>
        <w:bidi w:val="0"/>
        <w:spacing w:line="576" w:lineRule="exact"/>
        <w:textAlignment w:val="auto"/>
      </w:pPr>
    </w:p>
    <w:p>
      <w:pPr>
        <w:pStyle w:val="4"/>
        <w:pageBreakBefore w:val="0"/>
        <w:widowControl w:val="0"/>
        <w:kinsoku/>
        <w:wordWrap/>
        <w:overflowPunct/>
        <w:topLinePunct w:val="0"/>
        <w:autoSpaceDE/>
        <w:autoSpaceDN/>
        <w:bidi w:val="0"/>
        <w:spacing w:line="576" w:lineRule="exact"/>
        <w:textAlignment w:val="auto"/>
        <w:rPr>
          <w:rStyle w:val="31"/>
          <w:b w:val="0"/>
          <w:bCs w:val="0"/>
        </w:rPr>
      </w:pPr>
      <w:bookmarkStart w:id="18" w:name="_Toc12386"/>
      <w:bookmarkStart w:id="19" w:name="_Toc15377200"/>
      <w:bookmarkStart w:id="20" w:name="_Toc15396601"/>
      <w:r>
        <w:rPr>
          <w:rFonts w:hint="eastAsia" w:ascii="黑体" w:eastAsia="黑体"/>
          <w:b w:val="0"/>
        </w:rPr>
        <w:t>二、</w:t>
      </w:r>
      <w:r>
        <w:rPr>
          <w:rFonts w:hint="eastAsia" w:ascii="黑体" w:hAnsi="黑体" w:eastAsia="黑体"/>
          <w:b w:val="0"/>
        </w:rPr>
        <w:t>机</w:t>
      </w:r>
      <w:r>
        <w:rPr>
          <w:rStyle w:val="31"/>
          <w:rFonts w:hint="eastAsia" w:ascii="黑体" w:hAnsi="黑体" w:eastAsia="黑体"/>
          <w:b w:val="0"/>
          <w:bCs w:val="0"/>
        </w:rPr>
        <w:t>构设置</w:t>
      </w:r>
      <w:bookmarkEnd w:id="18"/>
      <w:bookmarkEnd w:id="19"/>
      <w:bookmarkEnd w:id="20"/>
    </w:p>
    <w:p>
      <w:pPr>
        <w:pageBreakBefore w:val="0"/>
        <w:widowControl w:val="0"/>
        <w:kinsoku/>
        <w:wordWrap/>
        <w:overflowPunct/>
        <w:topLinePunct w:val="0"/>
        <w:autoSpaceDE/>
        <w:autoSpaceDN/>
        <w:bidi w:val="0"/>
        <w:spacing w:line="576"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广元市民政局下属二级预算单位7个，其中行政单位1个，参照公务员法管理的事业单位</w:t>
      </w:r>
      <w:r>
        <w:rPr>
          <w:rFonts w:hint="eastAsia" w:ascii="仿宋_GB2312" w:hAnsi="仿宋_GB2312" w:eastAsia="仿宋_GB2312" w:cs="仿宋_GB2312"/>
          <w:bCs/>
          <w:sz w:val="32"/>
          <w:szCs w:val="32"/>
        </w:rPr>
        <w:t>0</w:t>
      </w:r>
      <w:r>
        <w:rPr>
          <w:rFonts w:hint="eastAsia" w:ascii="仿宋_GB2312" w:hAnsi="仿宋_GB2312" w:eastAsia="仿宋_GB2312" w:cs="仿宋_GB2312"/>
          <w:sz w:val="32"/>
          <w:szCs w:val="32"/>
        </w:rPr>
        <w:t>个，其他事业单位6个。</w:t>
      </w:r>
    </w:p>
    <w:p>
      <w:pPr>
        <w:pStyle w:val="2"/>
        <w:pageBreakBefore w:val="0"/>
        <w:widowControl w:val="0"/>
        <w:kinsoku/>
        <w:wordWrap/>
        <w:overflowPunct/>
        <w:topLinePunct w:val="0"/>
        <w:autoSpaceDE/>
        <w:autoSpaceDN/>
        <w:bidi w:val="0"/>
        <w:adjustRightInd w:val="0"/>
        <w:snapToGrid w:val="0"/>
        <w:spacing w:before="93" w:line="576" w:lineRule="exact"/>
        <w:ind w:firstLine="672" w:firstLineChars="2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纳入</w:t>
      </w:r>
      <w:r>
        <w:rPr>
          <w:rFonts w:hint="eastAsia" w:ascii="仿宋_GB2312" w:hAnsi="仿宋_GB2312" w:eastAsia="仿宋_GB2312" w:cs="仿宋_GB2312"/>
          <w:kern w:val="2"/>
          <w:sz w:val="32"/>
          <w:szCs w:val="32"/>
        </w:rPr>
        <w:t>广元市民政局</w:t>
      </w:r>
      <w:r>
        <w:rPr>
          <w:rFonts w:hint="eastAsia" w:ascii="仿宋_GB2312" w:hAnsi="仿宋_GB2312" w:eastAsia="仿宋_GB2312" w:cs="仿宋_GB2312"/>
          <w:sz w:val="32"/>
          <w:szCs w:val="32"/>
        </w:rPr>
        <w:t>202</w:t>
      </w:r>
      <w:r>
        <w:rPr>
          <w:rFonts w:hint="default" w:hAnsi="仿宋_GB2312" w:cs="仿宋_GB2312"/>
          <w:sz w:val="32"/>
          <w:szCs w:val="32"/>
          <w:lang w:val="en"/>
        </w:rPr>
        <w:t>4</w:t>
      </w:r>
      <w:r>
        <w:rPr>
          <w:rFonts w:hint="eastAsia" w:ascii="仿宋_GB2312" w:hAnsi="仿宋_GB2312" w:eastAsia="仿宋_GB2312" w:cs="仿宋_GB2312"/>
          <w:sz w:val="32"/>
          <w:szCs w:val="32"/>
        </w:rPr>
        <w:t>年度部门决算编制范围的二级预算单位包括：</w:t>
      </w:r>
    </w:p>
    <w:p>
      <w:pPr>
        <w:pStyle w:val="2"/>
        <w:pageBreakBefore w:val="0"/>
        <w:widowControl w:val="0"/>
        <w:kinsoku/>
        <w:wordWrap/>
        <w:overflowPunct/>
        <w:topLinePunct w:val="0"/>
        <w:autoSpaceDE/>
        <w:autoSpaceDN/>
        <w:bidi w:val="0"/>
        <w:spacing w:before="93" w:line="576" w:lineRule="exact"/>
        <w:ind w:firstLine="640" w:firstLineChars="200"/>
        <w:textAlignment w:val="auto"/>
        <w:rPr>
          <w:rFonts w:hAnsi="仿宋_GB2312"/>
          <w:sz w:val="32"/>
          <w:lang w:val="zh-CN"/>
        </w:rPr>
      </w:pPr>
      <w:r>
        <w:rPr>
          <w:rFonts w:hint="eastAsia" w:hAnsi="仿宋_GB2312"/>
          <w:sz w:val="32"/>
          <w:lang w:val="zh-CN"/>
        </w:rPr>
        <w:t>1.广元市民政局（本级）</w:t>
      </w:r>
    </w:p>
    <w:p>
      <w:pPr>
        <w:pStyle w:val="2"/>
        <w:pageBreakBefore w:val="0"/>
        <w:widowControl w:val="0"/>
        <w:kinsoku/>
        <w:wordWrap/>
        <w:overflowPunct/>
        <w:topLinePunct w:val="0"/>
        <w:autoSpaceDE/>
        <w:autoSpaceDN/>
        <w:bidi w:val="0"/>
        <w:spacing w:before="93" w:line="576" w:lineRule="exact"/>
        <w:ind w:firstLine="640" w:firstLineChars="200"/>
        <w:textAlignment w:val="auto"/>
        <w:rPr>
          <w:rFonts w:hAnsi="仿宋_GB2312"/>
          <w:sz w:val="32"/>
          <w:lang w:val="zh-CN"/>
        </w:rPr>
      </w:pPr>
      <w:r>
        <w:rPr>
          <w:rFonts w:hint="eastAsia" w:hAnsi="仿宋_GB2312"/>
          <w:sz w:val="32"/>
          <w:lang w:val="zh-CN"/>
        </w:rPr>
        <w:t>2.广元市社会救助综合服务中心</w:t>
      </w:r>
    </w:p>
    <w:p>
      <w:pPr>
        <w:pStyle w:val="2"/>
        <w:pageBreakBefore w:val="0"/>
        <w:widowControl w:val="0"/>
        <w:kinsoku/>
        <w:wordWrap/>
        <w:overflowPunct/>
        <w:topLinePunct w:val="0"/>
        <w:autoSpaceDE/>
        <w:autoSpaceDN/>
        <w:bidi w:val="0"/>
        <w:spacing w:before="93" w:line="576" w:lineRule="exact"/>
        <w:ind w:firstLine="640" w:firstLineChars="200"/>
        <w:textAlignment w:val="auto"/>
        <w:rPr>
          <w:rFonts w:hAnsi="仿宋_GB2312"/>
          <w:sz w:val="32"/>
          <w:lang w:val="zh-CN"/>
        </w:rPr>
      </w:pPr>
      <w:r>
        <w:rPr>
          <w:rFonts w:hint="eastAsia" w:hAnsi="仿宋_GB2312"/>
          <w:sz w:val="32"/>
          <w:lang w:val="zh-CN"/>
        </w:rPr>
        <w:t>3.广元市社会福利院</w:t>
      </w:r>
    </w:p>
    <w:p>
      <w:pPr>
        <w:pStyle w:val="2"/>
        <w:pageBreakBefore w:val="0"/>
        <w:widowControl w:val="0"/>
        <w:kinsoku/>
        <w:wordWrap/>
        <w:overflowPunct/>
        <w:topLinePunct w:val="0"/>
        <w:autoSpaceDE/>
        <w:autoSpaceDN/>
        <w:bidi w:val="0"/>
        <w:spacing w:before="93" w:line="576" w:lineRule="exact"/>
        <w:ind w:firstLine="640" w:firstLineChars="200"/>
        <w:textAlignment w:val="auto"/>
        <w:rPr>
          <w:rFonts w:hAnsi="仿宋_GB2312"/>
          <w:sz w:val="32"/>
          <w:lang w:val="zh-CN"/>
        </w:rPr>
      </w:pPr>
      <w:r>
        <w:rPr>
          <w:rFonts w:hint="eastAsia" w:hAnsi="仿宋_GB2312"/>
          <w:sz w:val="32"/>
          <w:lang w:val="zh-CN"/>
        </w:rPr>
        <w:t>4.广元市儿童福利院</w:t>
      </w:r>
    </w:p>
    <w:p>
      <w:pPr>
        <w:pStyle w:val="2"/>
        <w:pageBreakBefore w:val="0"/>
        <w:widowControl w:val="0"/>
        <w:kinsoku/>
        <w:wordWrap/>
        <w:overflowPunct/>
        <w:topLinePunct w:val="0"/>
        <w:autoSpaceDE/>
        <w:autoSpaceDN/>
        <w:bidi w:val="0"/>
        <w:spacing w:before="93" w:line="576" w:lineRule="exact"/>
        <w:ind w:firstLine="640" w:firstLineChars="200"/>
        <w:textAlignment w:val="auto"/>
        <w:rPr>
          <w:rFonts w:hAnsi="仿宋_GB2312"/>
          <w:sz w:val="32"/>
          <w:lang w:val="zh-CN"/>
        </w:rPr>
      </w:pPr>
      <w:r>
        <w:rPr>
          <w:rFonts w:hint="eastAsia" w:hAnsi="仿宋_GB2312"/>
          <w:sz w:val="32"/>
          <w:lang w:val="zh-CN"/>
        </w:rPr>
        <w:t>5.广元市救助站</w:t>
      </w:r>
    </w:p>
    <w:p>
      <w:pPr>
        <w:pStyle w:val="2"/>
        <w:pageBreakBefore w:val="0"/>
        <w:widowControl w:val="0"/>
        <w:kinsoku/>
        <w:wordWrap/>
        <w:overflowPunct/>
        <w:topLinePunct w:val="0"/>
        <w:autoSpaceDE/>
        <w:autoSpaceDN/>
        <w:bidi w:val="0"/>
        <w:spacing w:before="93" w:line="576" w:lineRule="exact"/>
        <w:ind w:firstLine="640" w:firstLineChars="200"/>
        <w:textAlignment w:val="auto"/>
        <w:rPr>
          <w:rFonts w:hAnsi="仿宋_GB2312"/>
          <w:sz w:val="32"/>
          <w:lang w:val="zh-CN"/>
        </w:rPr>
      </w:pPr>
      <w:r>
        <w:rPr>
          <w:rFonts w:hint="eastAsia" w:hAnsi="仿宋_GB2312"/>
          <w:sz w:val="32"/>
          <w:lang w:val="zh-CN"/>
        </w:rPr>
        <w:t>6.广元市殡葬管理所</w:t>
      </w:r>
    </w:p>
    <w:p>
      <w:pPr>
        <w:pStyle w:val="2"/>
        <w:pageBreakBefore w:val="0"/>
        <w:widowControl w:val="0"/>
        <w:kinsoku/>
        <w:wordWrap/>
        <w:overflowPunct/>
        <w:topLinePunct w:val="0"/>
        <w:autoSpaceDE/>
        <w:autoSpaceDN/>
        <w:bidi w:val="0"/>
        <w:spacing w:before="93" w:line="576" w:lineRule="exact"/>
        <w:ind w:firstLine="640" w:firstLineChars="200"/>
        <w:textAlignment w:val="auto"/>
        <w:rPr>
          <w:rFonts w:hAnsi="仿宋_GB2312"/>
          <w:sz w:val="32"/>
          <w:lang w:val="zh-CN"/>
        </w:rPr>
      </w:pPr>
      <w:r>
        <w:rPr>
          <w:rFonts w:hint="eastAsia" w:hAnsi="仿宋_GB2312"/>
          <w:sz w:val="32"/>
          <w:lang w:val="zh-CN"/>
        </w:rPr>
        <w:t>7.广元市老年大学（老年活动中心）</w:t>
      </w:r>
    </w:p>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30"/>
          <w:rFonts w:ascii="黑体" w:hAnsi="黑体" w:eastAsia="黑体"/>
          <w:b w:val="0"/>
          <w:bCs/>
        </w:rPr>
      </w:pPr>
      <w:bookmarkStart w:id="21" w:name="_Toc15377204"/>
      <w:bookmarkStart w:id="22" w:name="_Toc30250"/>
      <w:bookmarkStart w:id="23" w:name="_Toc15396602"/>
      <w:r>
        <w:rPr>
          <w:rFonts w:hint="eastAsia" w:ascii="黑体" w:hAnsi="黑体" w:eastAsia="黑体"/>
          <w:b w:val="0"/>
        </w:rPr>
        <w:t>第二部分 202</w:t>
      </w:r>
      <w:r>
        <w:rPr>
          <w:rFonts w:hint="default" w:ascii="黑体" w:hAnsi="黑体" w:eastAsia="黑体"/>
          <w:b w:val="0"/>
          <w:lang w:val="en"/>
        </w:rPr>
        <w:t>4</w:t>
      </w:r>
      <w:r>
        <w:rPr>
          <w:rFonts w:hint="eastAsia" w:ascii="黑体" w:hAnsi="黑体" w:eastAsia="黑体"/>
          <w:b w:val="0"/>
        </w:rPr>
        <w:t>年度</w:t>
      </w:r>
      <w:r>
        <w:rPr>
          <w:rStyle w:val="30"/>
          <w:rFonts w:hint="eastAsia" w:ascii="黑体" w:hAnsi="黑体" w:eastAsia="黑体"/>
          <w:b w:val="0"/>
          <w:bCs/>
        </w:rPr>
        <w:t>部门决算情况说明</w:t>
      </w:r>
      <w:bookmarkEnd w:id="21"/>
      <w:bookmarkEnd w:id="22"/>
      <w:bookmarkEnd w:id="23"/>
    </w:p>
    <w:p/>
    <w:p>
      <w:pPr>
        <w:pStyle w:val="44"/>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Chars="0"/>
        <w:textAlignment w:val="auto"/>
        <w:outlineLvl w:val="1"/>
        <w:rPr>
          <w:rStyle w:val="31"/>
          <w:rFonts w:ascii="黑体" w:hAnsi="黑体" w:eastAsia="黑体"/>
          <w:b w:val="0"/>
        </w:rPr>
      </w:pPr>
      <w:bookmarkStart w:id="24" w:name="_Toc15396603"/>
      <w:bookmarkStart w:id="25" w:name="_Toc18126"/>
      <w:bookmarkStart w:id="26" w:name="_Toc15377205"/>
      <w:r>
        <w:rPr>
          <w:rFonts w:hint="eastAsia" w:ascii="黑体" w:hAnsi="黑体" w:eastAsia="黑体"/>
          <w:sz w:val="32"/>
          <w:szCs w:val="32"/>
        </w:rPr>
        <w:t>收</w:t>
      </w:r>
      <w:r>
        <w:rPr>
          <w:rStyle w:val="31"/>
          <w:rFonts w:hint="eastAsia" w:ascii="黑体" w:hAnsi="黑体" w:eastAsia="黑体"/>
          <w:b w:val="0"/>
        </w:rPr>
        <w:t>入支出决算总体情况说明</w:t>
      </w:r>
      <w:bookmarkEnd w:id="24"/>
      <w:bookmarkEnd w:id="25"/>
      <w:bookmarkEnd w:id="26"/>
    </w:p>
    <w:p>
      <w:pPr>
        <w:pStyle w:val="7"/>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r>
        <w:rPr>
          <w:rFonts w:hint="eastAsia"/>
        </w:rPr>
        <w:t>202</w:t>
      </w:r>
      <w:r>
        <w:rPr>
          <w:rFonts w:hint="default"/>
          <w:lang w:val="en"/>
        </w:rPr>
        <w:t>4</w:t>
      </w:r>
      <w:r>
        <w:rPr>
          <w:rFonts w:hint="eastAsia"/>
        </w:rPr>
        <w:t>年度收、支总计均</w:t>
      </w:r>
      <w:r>
        <w:rPr>
          <w:rFonts w:hint="eastAsia"/>
          <w:color w:val="auto"/>
        </w:rPr>
        <w:t>为</w:t>
      </w:r>
      <w:r>
        <w:rPr>
          <w:rFonts w:hint="default"/>
          <w:color w:val="auto"/>
          <w:lang w:val="en"/>
        </w:rPr>
        <w:t>10</w:t>
      </w:r>
      <w:r>
        <w:rPr>
          <w:rFonts w:hint="eastAsia"/>
          <w:color w:val="auto"/>
          <w:lang w:val="en-US" w:eastAsia="zh-CN"/>
        </w:rPr>
        <w:t>,</w:t>
      </w:r>
      <w:r>
        <w:rPr>
          <w:rFonts w:hint="default"/>
          <w:color w:val="auto"/>
          <w:lang w:val="en"/>
        </w:rPr>
        <w:t>013.01</w:t>
      </w:r>
      <w:r>
        <w:rPr>
          <w:rFonts w:hint="eastAsia"/>
          <w:color w:val="auto"/>
        </w:rPr>
        <w:t>万元</w:t>
      </w:r>
      <w:r>
        <w:rPr>
          <w:rFonts w:hint="eastAsia"/>
        </w:rPr>
        <w:t>。与202</w:t>
      </w:r>
      <w:r>
        <w:rPr>
          <w:rFonts w:hint="default"/>
          <w:lang w:val="en"/>
        </w:rPr>
        <w:t>3</w:t>
      </w:r>
      <w:r>
        <w:rPr>
          <w:rFonts w:hint="eastAsia"/>
        </w:rPr>
        <w:t>年度相比，收、支总计各</w:t>
      </w:r>
      <w:r>
        <w:rPr>
          <w:rFonts w:hint="eastAsia"/>
          <w:lang w:eastAsia="zh-CN"/>
        </w:rPr>
        <w:t>减少</w:t>
      </w:r>
      <w:r>
        <w:rPr>
          <w:rFonts w:hint="eastAsia"/>
          <w:lang w:val="en-US" w:eastAsia="zh-CN"/>
        </w:rPr>
        <w:t>1,600.12</w:t>
      </w:r>
      <w:r>
        <w:rPr>
          <w:rFonts w:hint="eastAsia"/>
        </w:rPr>
        <w:t>万元，</w:t>
      </w:r>
      <w:r>
        <w:rPr>
          <w:rFonts w:hint="eastAsia"/>
          <w:lang w:eastAsia="zh-CN"/>
        </w:rPr>
        <w:t>减少</w:t>
      </w:r>
      <w:r>
        <w:rPr>
          <w:rFonts w:hint="eastAsia"/>
          <w:lang w:val="en-US" w:eastAsia="zh-CN"/>
        </w:rPr>
        <w:t>13.8</w:t>
      </w:r>
      <w:r>
        <w:t>%</w:t>
      </w:r>
      <w:r>
        <w:rPr>
          <w:rFonts w:hint="eastAsia"/>
        </w:rPr>
        <w:t>。主要变动原因是民政局本级202</w:t>
      </w:r>
      <w:r>
        <w:rPr>
          <w:rFonts w:hint="eastAsia"/>
          <w:lang w:val="en-US" w:eastAsia="zh-CN"/>
        </w:rPr>
        <w:t>4</w:t>
      </w:r>
      <w:r>
        <w:rPr>
          <w:rFonts w:hint="eastAsia"/>
        </w:rPr>
        <w:t>年</w:t>
      </w:r>
      <w:r>
        <w:rPr>
          <w:rFonts w:hint="eastAsia"/>
          <w:lang w:val="en-US" w:eastAsia="zh-CN"/>
        </w:rPr>
        <w:t>度</w:t>
      </w:r>
      <w:r>
        <w:rPr>
          <w:rFonts w:hint="eastAsia"/>
        </w:rPr>
        <w:t>政府性基金项目支出</w:t>
      </w:r>
      <w:r>
        <w:rPr>
          <w:rFonts w:hint="eastAsia"/>
          <w:lang w:eastAsia="zh-CN"/>
        </w:rPr>
        <w:t>减少</w:t>
      </w:r>
      <w:r>
        <w:rPr>
          <w:rFonts w:hint="eastAsia"/>
        </w:rPr>
        <w:t>，广元市社会福利院基建项目资金</w:t>
      </w:r>
      <w:r>
        <w:rPr>
          <w:rFonts w:hint="eastAsia"/>
          <w:lang w:eastAsia="zh-CN"/>
        </w:rPr>
        <w:t>减少</w:t>
      </w:r>
      <w:r>
        <w:rPr>
          <w:rFonts w:hint="eastAsia"/>
        </w:rPr>
        <w:t>。</w:t>
      </w:r>
    </w:p>
    <w:p>
      <w:r>
        <w:drawing>
          <wp:inline distT="0" distB="0" distL="114300" distR="114300">
            <wp:extent cx="5429250" cy="2834640"/>
            <wp:effectExtent l="0" t="0" r="0" b="3810"/>
            <wp:docPr id="3"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true"/>
                    </pic:cNvPicPr>
                  </pic:nvPicPr>
                  <pic:blipFill>
                    <a:blip r:embed="rId8"/>
                    <a:stretch>
                      <a:fillRect/>
                    </a:stretch>
                  </pic:blipFill>
                  <pic:spPr>
                    <a:xfrm>
                      <a:off x="0" y="0"/>
                      <a:ext cx="5429250" cy="2834640"/>
                    </a:xfrm>
                    <a:prstGeom prst="rect">
                      <a:avLst/>
                    </a:prstGeom>
                    <a:noFill/>
                    <a:ln>
                      <a:noFill/>
                    </a:ln>
                  </pic:spPr>
                </pic:pic>
              </a:graphicData>
            </a:graphic>
          </wp:inline>
        </w:drawing>
      </w:r>
    </w:p>
    <w:p>
      <w:pPr>
        <w:keepNext w:val="0"/>
        <w:keepLines w:val="0"/>
        <w:pageBreakBefore w:val="0"/>
        <w:widowControl w:val="0"/>
        <w:kinsoku/>
        <w:wordWrap/>
        <w:overflowPunct w:val="0"/>
        <w:topLinePunct/>
        <w:autoSpaceDE w:val="0"/>
        <w:autoSpaceDN w:val="0"/>
        <w:bidi w:val="0"/>
        <w:adjustRightInd/>
        <w:snapToGrid/>
        <w:spacing w:line="576" w:lineRule="exact"/>
        <w:jc w:val="center"/>
        <w:textAlignment w:val="auto"/>
        <w:outlineLvl w:val="9"/>
        <w:rPr>
          <w:rFonts w:hint="default" w:ascii="仿宋_GB2312" w:hAnsi="仿宋_GB2312" w:eastAsia="仿宋_GB2312"/>
          <w:color w:val="000000"/>
          <w:kern w:val="2"/>
          <w:sz w:val="32"/>
          <w:szCs w:val="32"/>
          <w:highlight w:val="none"/>
          <w:lang w:val="en-US" w:eastAsia="zh-CN"/>
        </w:rPr>
      </w:pPr>
      <w:r>
        <w:rPr>
          <w:rFonts w:hint="eastAsia"/>
          <w:lang w:val="en-US" w:eastAsia="zh-CN"/>
        </w:rPr>
        <w:t xml:space="preserve">     </w:t>
      </w:r>
      <w:r>
        <w:rPr>
          <w:rFonts w:hint="eastAsia" w:ascii="仿宋_GB2312" w:hAnsi="仿宋_GB2312" w:eastAsia="仿宋_GB2312"/>
          <w:color w:val="000000"/>
          <w:kern w:val="2"/>
          <w:sz w:val="32"/>
          <w:szCs w:val="32"/>
          <w:highlight w:val="none"/>
          <w:lang w:val="en-US"/>
        </w:rPr>
        <w:t>图1：收、支决算总计变动情况图</w:t>
      </w:r>
      <w:r>
        <w:rPr>
          <w:rFonts w:hint="eastAsia" w:ascii="仿宋_GB2312" w:hAnsi="仿宋_GB2312" w:eastAsia="仿宋_GB2312"/>
          <w:color w:val="000000"/>
          <w:kern w:val="2"/>
          <w:sz w:val="32"/>
          <w:szCs w:val="32"/>
          <w:highlight w:val="none"/>
          <w:lang w:val="en-US" w:eastAsia="zh-CN"/>
        </w:rPr>
        <w:t>（单位：万元）</w:t>
      </w:r>
    </w:p>
    <w:p>
      <w:pPr>
        <w:pStyle w:val="44"/>
        <w:pageBreakBefore w:val="0"/>
        <w:widowControl w:val="0"/>
        <w:numPr>
          <w:ilvl w:val="0"/>
          <w:numId w:val="2"/>
        </w:numPr>
        <w:kinsoku/>
        <w:wordWrap/>
        <w:overflowPunct/>
        <w:topLinePunct w:val="0"/>
        <w:autoSpaceDE/>
        <w:autoSpaceDN/>
        <w:bidi w:val="0"/>
        <w:adjustRightInd/>
        <w:snapToGrid/>
        <w:spacing w:line="576" w:lineRule="exact"/>
        <w:ind w:firstLineChars="0"/>
        <w:textAlignment w:val="auto"/>
        <w:outlineLvl w:val="1"/>
        <w:rPr>
          <w:rStyle w:val="31"/>
          <w:rFonts w:ascii="黑体" w:hAnsi="黑体" w:eastAsia="黑体"/>
          <w:b w:val="0"/>
        </w:rPr>
      </w:pPr>
      <w:bookmarkStart w:id="27" w:name="_Toc6238"/>
      <w:bookmarkStart w:id="28" w:name="_Toc15396604"/>
      <w:bookmarkStart w:id="29" w:name="_Toc15377206"/>
      <w:r>
        <w:rPr>
          <w:rFonts w:hint="eastAsia" w:ascii="黑体" w:hAnsi="黑体" w:eastAsia="黑体"/>
          <w:sz w:val="32"/>
          <w:szCs w:val="32"/>
        </w:rPr>
        <w:t>收</w:t>
      </w:r>
      <w:r>
        <w:rPr>
          <w:rStyle w:val="31"/>
          <w:rFonts w:hint="eastAsia" w:ascii="黑体" w:hAnsi="黑体" w:eastAsia="黑体"/>
          <w:b w:val="0"/>
        </w:rPr>
        <w:t>入决算情况说明</w:t>
      </w:r>
      <w:bookmarkEnd w:id="27"/>
      <w:bookmarkEnd w:id="28"/>
      <w:bookmarkEnd w:id="29"/>
    </w:p>
    <w:p>
      <w:pPr>
        <w:pStyle w:val="7"/>
        <w:pageBreakBefore w:val="0"/>
        <w:widowControl w:val="0"/>
        <w:kinsoku/>
        <w:wordWrap/>
        <w:overflowPunct/>
        <w:topLinePunct w:val="0"/>
        <w:autoSpaceDE/>
        <w:autoSpaceDN/>
        <w:bidi w:val="0"/>
        <w:adjustRightInd/>
        <w:snapToGrid/>
        <w:spacing w:line="576" w:lineRule="exact"/>
        <w:textAlignment w:val="auto"/>
      </w:pPr>
      <w:r>
        <w:rPr>
          <w:rFonts w:hint="eastAsia"/>
        </w:rPr>
        <w:t>202</w:t>
      </w:r>
      <w:r>
        <w:rPr>
          <w:rFonts w:hint="eastAsia"/>
          <w:lang w:val="en-US" w:eastAsia="zh-CN"/>
        </w:rPr>
        <w:t>4</w:t>
      </w:r>
      <w:r>
        <w:rPr>
          <w:rFonts w:hint="eastAsia"/>
        </w:rPr>
        <w:t>年度本年收入合计</w:t>
      </w:r>
      <w:r>
        <w:rPr>
          <w:rFonts w:hint="eastAsia"/>
          <w:lang w:val="en-US" w:eastAsia="zh-CN"/>
        </w:rPr>
        <w:t>9,042.37</w:t>
      </w:r>
      <w:r>
        <w:rPr>
          <w:rFonts w:hint="eastAsia"/>
        </w:rPr>
        <w:t>万元，其中：一般公共预算财政拨款收入</w:t>
      </w:r>
      <w:r>
        <w:rPr>
          <w:rFonts w:hint="eastAsia"/>
          <w:lang w:val="en-US" w:eastAsia="zh-CN"/>
        </w:rPr>
        <w:t>4,488.47</w:t>
      </w:r>
      <w:r>
        <w:rPr>
          <w:rFonts w:hint="eastAsia"/>
        </w:rPr>
        <w:t>万元，</w:t>
      </w:r>
      <w:r>
        <w:rPr>
          <w:rFonts w:hint="eastAsia"/>
          <w:color w:val="auto"/>
        </w:rPr>
        <w:t>占</w:t>
      </w:r>
      <w:r>
        <w:rPr>
          <w:rFonts w:hint="eastAsia"/>
          <w:color w:val="auto"/>
          <w:lang w:val="en-US" w:eastAsia="zh-CN"/>
        </w:rPr>
        <w:t>49.6</w:t>
      </w:r>
      <w:r>
        <w:rPr>
          <w:color w:val="auto"/>
        </w:rPr>
        <w:t>%</w:t>
      </w:r>
      <w:r>
        <w:rPr>
          <w:rFonts w:hint="eastAsia"/>
          <w:color w:val="auto"/>
        </w:rPr>
        <w:t>；政府性基金预算财政拨款收入</w:t>
      </w:r>
      <w:r>
        <w:rPr>
          <w:rFonts w:hint="eastAsia"/>
          <w:color w:val="auto"/>
          <w:lang w:val="en-US" w:eastAsia="zh-CN"/>
        </w:rPr>
        <w:t>4,553.91</w:t>
      </w:r>
      <w:r>
        <w:rPr>
          <w:rFonts w:hint="eastAsia"/>
          <w:color w:val="auto"/>
        </w:rPr>
        <w:t>万元，占</w:t>
      </w:r>
      <w:r>
        <w:rPr>
          <w:rFonts w:hint="eastAsia"/>
          <w:color w:val="auto"/>
          <w:lang w:val="en-US" w:eastAsia="zh-CN"/>
        </w:rPr>
        <w:t>50.4</w:t>
      </w:r>
      <w:r>
        <w:rPr>
          <w:color w:val="auto"/>
        </w:rPr>
        <w:t>%</w:t>
      </w:r>
      <w:r>
        <w:rPr>
          <w:rFonts w:hint="eastAsia"/>
          <w:color w:val="auto"/>
        </w:rPr>
        <w:t>。</w:t>
      </w:r>
    </w:p>
    <w:p>
      <w:pPr>
        <w:pStyle w:val="33"/>
        <w:outlineLvl w:val="9"/>
        <w:rPr>
          <w:rFonts w:hint="eastAsia" w:eastAsia="黑体"/>
          <w:lang w:eastAsia="zh-CN"/>
        </w:rPr>
      </w:pPr>
      <w:r>
        <w:drawing>
          <wp:inline distT="0" distB="0" distL="114300" distR="114300">
            <wp:extent cx="5452745" cy="2755265"/>
            <wp:effectExtent l="0" t="0" r="14605" b="6985"/>
            <wp:docPr id="4"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true"/>
                    </pic:cNvPicPr>
                  </pic:nvPicPr>
                  <pic:blipFill>
                    <a:blip r:embed="rId9"/>
                    <a:stretch>
                      <a:fillRect/>
                    </a:stretch>
                  </pic:blipFill>
                  <pic:spPr>
                    <a:xfrm>
                      <a:off x="0" y="0"/>
                      <a:ext cx="5452745" cy="2755265"/>
                    </a:xfrm>
                    <a:prstGeom prst="rect">
                      <a:avLst/>
                    </a:prstGeom>
                    <a:noFill/>
                    <a:ln>
                      <a:noFill/>
                    </a:ln>
                  </pic:spPr>
                </pic:pic>
              </a:graphicData>
            </a:graphic>
          </wp:inline>
        </w:drawing>
      </w:r>
    </w:p>
    <w:p>
      <w:pPr>
        <w:keepNext w:val="0"/>
        <w:keepLines w:val="0"/>
        <w:pageBreakBefore w:val="0"/>
        <w:widowControl w:val="0"/>
        <w:kinsoku/>
        <w:wordWrap/>
        <w:overflowPunct w:val="0"/>
        <w:topLinePunct/>
        <w:autoSpaceDE w:val="0"/>
        <w:autoSpaceDN w:val="0"/>
        <w:bidi w:val="0"/>
        <w:adjustRightInd/>
        <w:snapToGrid/>
        <w:spacing w:line="576" w:lineRule="exact"/>
        <w:jc w:val="center"/>
        <w:textAlignment w:val="auto"/>
        <w:outlineLvl w:val="9"/>
        <w:rPr>
          <w:rFonts w:hint="eastAsia" w:ascii="仿宋_GB2312" w:hAnsi="仿宋_GB2312" w:eastAsia="仿宋_GB2312"/>
          <w:color w:val="000000"/>
          <w:kern w:val="2"/>
          <w:sz w:val="32"/>
          <w:szCs w:val="32"/>
          <w:lang w:val="en-US" w:eastAsia="zh-CN"/>
        </w:rPr>
      </w:pPr>
      <w:bookmarkStart w:id="30" w:name="_Toc15396605"/>
      <w:bookmarkStart w:id="31" w:name="_Toc15377207"/>
      <w:bookmarkStart w:id="32" w:name="_Toc7399"/>
      <w:r>
        <w:rPr>
          <w:rFonts w:hint="eastAsia" w:ascii="仿宋_GB2312" w:hAnsi="仿宋_GB2312" w:eastAsia="仿宋_GB2312"/>
          <w:color w:val="000000"/>
          <w:kern w:val="2"/>
          <w:sz w:val="32"/>
          <w:szCs w:val="32"/>
          <w:highlight w:val="none"/>
          <w:lang w:val="en-US"/>
        </w:rPr>
        <w:t>图2：收入决算结构图</w:t>
      </w:r>
    </w:p>
    <w:p>
      <w:pPr>
        <w:pStyle w:val="44"/>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Chars="0"/>
        <w:textAlignment w:val="auto"/>
        <w:outlineLvl w:val="1"/>
        <w:rPr>
          <w:rStyle w:val="31"/>
          <w:rFonts w:ascii="黑体" w:hAnsi="黑体" w:eastAsia="黑体"/>
          <w:b w:val="0"/>
        </w:rPr>
      </w:pPr>
      <w:r>
        <w:rPr>
          <w:rFonts w:hint="eastAsia" w:ascii="黑体" w:hAnsi="黑体" w:eastAsia="黑体"/>
          <w:sz w:val="32"/>
          <w:szCs w:val="32"/>
        </w:rPr>
        <w:t>支</w:t>
      </w:r>
      <w:r>
        <w:rPr>
          <w:rStyle w:val="31"/>
          <w:rFonts w:hint="eastAsia" w:ascii="黑体" w:hAnsi="黑体" w:eastAsia="黑体"/>
          <w:b w:val="0"/>
        </w:rPr>
        <w:t>出决算情况说明</w:t>
      </w:r>
      <w:bookmarkEnd w:id="30"/>
      <w:bookmarkEnd w:id="31"/>
      <w:bookmarkEnd w:id="32"/>
    </w:p>
    <w:p>
      <w:pPr>
        <w:pStyle w:val="7"/>
        <w:keepNext w:val="0"/>
        <w:keepLines w:val="0"/>
        <w:pageBreakBefore w:val="0"/>
        <w:widowControl w:val="0"/>
        <w:kinsoku/>
        <w:wordWrap/>
        <w:overflowPunct/>
        <w:topLinePunct w:val="0"/>
        <w:autoSpaceDE/>
        <w:autoSpaceDN/>
        <w:bidi w:val="0"/>
        <w:adjustRightInd/>
        <w:snapToGrid/>
        <w:spacing w:line="576" w:lineRule="exact"/>
        <w:textAlignment w:val="auto"/>
      </w:pPr>
      <w:r>
        <w:rPr>
          <w:rFonts w:hint="eastAsia"/>
        </w:rPr>
        <w:t>202</w:t>
      </w:r>
      <w:r>
        <w:rPr>
          <w:rFonts w:hint="eastAsia"/>
          <w:lang w:val="en-US" w:eastAsia="zh-CN"/>
        </w:rPr>
        <w:t>4</w:t>
      </w:r>
      <w:r>
        <w:rPr>
          <w:rFonts w:hint="eastAsia"/>
        </w:rPr>
        <w:t>年度本年支出合计</w:t>
      </w:r>
      <w:r>
        <w:rPr>
          <w:rFonts w:hint="eastAsia"/>
          <w:lang w:val="en-US" w:eastAsia="zh-CN"/>
        </w:rPr>
        <w:t>9,819.77</w:t>
      </w:r>
      <w:r>
        <w:rPr>
          <w:rFonts w:hint="eastAsia"/>
        </w:rPr>
        <w:t>万元，其中：基本支出</w:t>
      </w:r>
      <w:r>
        <w:rPr>
          <w:rFonts w:hint="eastAsia"/>
          <w:lang w:val="en-US" w:eastAsia="zh-CN"/>
        </w:rPr>
        <w:t>3,167.18</w:t>
      </w:r>
      <w:r>
        <w:rPr>
          <w:rFonts w:hint="eastAsia"/>
        </w:rPr>
        <w:t>万元，</w:t>
      </w:r>
      <w:r>
        <w:rPr>
          <w:rFonts w:hint="eastAsia"/>
          <w:color w:val="auto"/>
        </w:rPr>
        <w:t>占</w:t>
      </w:r>
      <w:r>
        <w:rPr>
          <w:rFonts w:hint="eastAsia"/>
          <w:color w:val="auto"/>
          <w:lang w:val="en-US" w:eastAsia="zh-CN"/>
        </w:rPr>
        <w:t>32.2</w:t>
      </w:r>
      <w:r>
        <w:rPr>
          <w:color w:val="auto"/>
        </w:rPr>
        <w:t>%</w:t>
      </w:r>
      <w:r>
        <w:rPr>
          <w:rFonts w:hint="eastAsia"/>
          <w:color w:val="auto"/>
        </w:rPr>
        <w:t>；项目支出</w:t>
      </w:r>
      <w:r>
        <w:rPr>
          <w:rFonts w:hint="eastAsia"/>
          <w:color w:val="auto"/>
          <w:lang w:val="en-US" w:eastAsia="zh-CN"/>
        </w:rPr>
        <w:t>6,652.59</w:t>
      </w:r>
      <w:r>
        <w:rPr>
          <w:rFonts w:hint="eastAsia"/>
          <w:color w:val="auto"/>
        </w:rPr>
        <w:t>万元，占</w:t>
      </w:r>
      <w:r>
        <w:rPr>
          <w:rFonts w:hint="eastAsia"/>
          <w:color w:val="auto"/>
          <w:lang w:val="en-US" w:eastAsia="zh-CN"/>
        </w:rPr>
        <w:t>67.8</w:t>
      </w:r>
      <w:r>
        <w:rPr>
          <w:color w:val="auto"/>
        </w:rPr>
        <w:t>%</w:t>
      </w:r>
      <w:r>
        <w:rPr>
          <w:rFonts w:hint="eastAsia"/>
        </w:rPr>
        <w:t>。</w:t>
      </w:r>
    </w:p>
    <w:p>
      <w:pPr>
        <w:pStyle w:val="33"/>
        <w:outlineLvl w:val="9"/>
        <w:rPr>
          <w:rFonts w:hint="eastAsia" w:eastAsia="黑体"/>
          <w:lang w:eastAsia="zh-CN"/>
        </w:rPr>
      </w:pPr>
      <w:r>
        <w:drawing>
          <wp:inline distT="0" distB="0" distL="114300" distR="114300">
            <wp:extent cx="5500370" cy="2755265"/>
            <wp:effectExtent l="0" t="0" r="5080" b="6985"/>
            <wp:docPr id="6"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true"/>
                    </pic:cNvPicPr>
                  </pic:nvPicPr>
                  <pic:blipFill>
                    <a:blip r:embed="rId10"/>
                    <a:stretch>
                      <a:fillRect/>
                    </a:stretch>
                  </pic:blipFill>
                  <pic:spPr>
                    <a:xfrm>
                      <a:off x="0" y="0"/>
                      <a:ext cx="5500370" cy="2755265"/>
                    </a:xfrm>
                    <a:prstGeom prst="rect">
                      <a:avLst/>
                    </a:prstGeom>
                    <a:noFill/>
                    <a:ln>
                      <a:noFill/>
                    </a:ln>
                  </pic:spPr>
                </pic:pic>
              </a:graphicData>
            </a:graphic>
          </wp:inline>
        </w:drawing>
      </w:r>
    </w:p>
    <w:p>
      <w:pPr>
        <w:spacing w:line="600" w:lineRule="exact"/>
        <w:ind w:firstLine="1920" w:firstLineChars="600"/>
        <w:rPr>
          <w:rFonts w:ascii="仿宋" w:hAnsi="仿宋" w:eastAsia="仿宋"/>
          <w:sz w:val="32"/>
          <w:szCs w:val="32"/>
        </w:rPr>
      </w:pPr>
      <w:r>
        <w:rPr>
          <w:rFonts w:hint="eastAsia" w:ascii="仿宋" w:hAnsi="仿宋" w:eastAsia="仿宋"/>
          <w:sz w:val="32"/>
          <w:szCs w:val="32"/>
        </w:rPr>
        <w:t>图3：支出决算结构图</w:t>
      </w:r>
    </w:p>
    <w:p>
      <w:pPr>
        <w:numPr>
          <w:ilvl w:val="0"/>
          <w:numId w:val="2"/>
        </w:numPr>
        <w:spacing w:line="600" w:lineRule="exact"/>
        <w:ind w:left="1360" w:leftChars="0" w:hanging="720" w:firstLineChars="0"/>
        <w:outlineLvl w:val="1"/>
        <w:rPr>
          <w:rStyle w:val="31"/>
          <w:rFonts w:hint="eastAsia" w:ascii="黑体" w:hAnsi="黑体" w:eastAsia="黑体"/>
          <w:b w:val="0"/>
        </w:rPr>
      </w:pPr>
      <w:bookmarkStart w:id="33" w:name="_Toc6289"/>
      <w:bookmarkStart w:id="34" w:name="_Toc15377208"/>
      <w:bookmarkStart w:id="35" w:name="_Toc15396606"/>
      <w:r>
        <w:rPr>
          <w:rFonts w:hint="eastAsia" w:ascii="黑体" w:hAnsi="黑体" w:eastAsia="黑体"/>
          <w:sz w:val="32"/>
          <w:szCs w:val="32"/>
        </w:rPr>
        <w:t>财</w:t>
      </w:r>
      <w:r>
        <w:rPr>
          <w:rStyle w:val="31"/>
          <w:rFonts w:hint="eastAsia" w:ascii="黑体" w:hAnsi="黑体" w:eastAsia="黑体"/>
          <w:b w:val="0"/>
        </w:rPr>
        <w:t>政拨款收入支出决算总体情况说明</w:t>
      </w:r>
      <w:bookmarkEnd w:id="33"/>
      <w:bookmarkEnd w:id="34"/>
      <w:bookmarkEnd w:id="35"/>
    </w:p>
    <w:p>
      <w:pPr>
        <w:pStyle w:val="2"/>
        <w:numPr>
          <w:ilvl w:val="0"/>
          <w:numId w:val="0"/>
        </w:numPr>
        <w:ind w:firstLine="640" w:firstLineChars="200"/>
        <w:rPr>
          <w:rFonts w:ascii="仿宋" w:hAnsi="仿宋" w:eastAsia="仿宋"/>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年度财政拨款收、支总计均为</w:t>
      </w:r>
      <w:r>
        <w:rPr>
          <w:rFonts w:hint="eastAsia" w:hAnsi="仿宋_GB2312" w:cs="仿宋_GB2312"/>
          <w:color w:val="auto"/>
          <w:sz w:val="32"/>
          <w:szCs w:val="32"/>
          <w:lang w:val="en-US" w:eastAsia="zh-CN"/>
        </w:rPr>
        <w:t>10,009.17</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sz w:val="32"/>
          <w:szCs w:val="32"/>
        </w:rPr>
        <w:t>。与202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年度相比，财政拨款收、支总计各</w:t>
      </w:r>
      <w:r>
        <w:rPr>
          <w:rFonts w:hint="eastAsia" w:ascii="仿宋_GB2312" w:hAnsi="仿宋_GB2312" w:eastAsia="仿宋_GB2312" w:cs="仿宋_GB2312"/>
          <w:sz w:val="32"/>
          <w:szCs w:val="32"/>
          <w:lang w:eastAsia="zh-CN"/>
        </w:rPr>
        <w:t>减少</w:t>
      </w:r>
      <w:r>
        <w:rPr>
          <w:rFonts w:hint="eastAsia" w:hAnsi="仿宋_GB2312" w:cs="仿宋_GB2312"/>
          <w:sz w:val="32"/>
          <w:szCs w:val="32"/>
          <w:lang w:val="en-US" w:eastAsia="zh-CN"/>
        </w:rPr>
        <w:t>159.04</w:t>
      </w:r>
      <w:r>
        <w:rPr>
          <w:rFonts w:hint="eastAsia" w:ascii="仿宋_GB2312" w:hAnsi="仿宋_GB2312" w:eastAsia="仿宋_GB2312" w:cs="仿宋_GB2312"/>
          <w:sz w:val="32"/>
          <w:szCs w:val="32"/>
        </w:rPr>
        <w:t>万元，</w:t>
      </w:r>
      <w:r>
        <w:rPr>
          <w:rFonts w:hint="eastAsia"/>
          <w:lang w:eastAsia="zh-CN"/>
        </w:rPr>
        <w:t>减少</w:t>
      </w:r>
      <w:r>
        <w:rPr>
          <w:rFonts w:hint="eastAsia"/>
          <w:lang w:val="en-US" w:eastAsia="zh-CN"/>
        </w:rPr>
        <w:t>1.6</w:t>
      </w:r>
      <w:r>
        <w:t>%</w:t>
      </w:r>
      <w:r>
        <w:rPr>
          <w:rFonts w:hint="eastAsia"/>
        </w:rPr>
        <w:t>。主要变动原因是民政局本级202</w:t>
      </w:r>
      <w:r>
        <w:rPr>
          <w:rFonts w:hint="eastAsia"/>
          <w:lang w:val="en-US" w:eastAsia="zh-CN"/>
        </w:rPr>
        <w:t>4</w:t>
      </w:r>
      <w:r>
        <w:rPr>
          <w:rFonts w:hint="eastAsia"/>
        </w:rPr>
        <w:t>年</w:t>
      </w:r>
      <w:r>
        <w:rPr>
          <w:rFonts w:hint="eastAsia"/>
          <w:lang w:val="en-US" w:eastAsia="zh-CN"/>
        </w:rPr>
        <w:t>度</w:t>
      </w:r>
      <w:r>
        <w:rPr>
          <w:rFonts w:hint="eastAsia"/>
        </w:rPr>
        <w:t>政府性基金项目支出</w:t>
      </w:r>
      <w:r>
        <w:rPr>
          <w:rFonts w:hint="eastAsia"/>
          <w:lang w:eastAsia="zh-CN"/>
        </w:rPr>
        <w:t>减少</w:t>
      </w:r>
      <w:r>
        <w:rPr>
          <w:rFonts w:hint="eastAsia"/>
        </w:rPr>
        <w:t>。</w:t>
      </w:r>
    </w:p>
    <w:p>
      <w:pPr>
        <w:rPr>
          <w:rFonts w:hint="eastAsia" w:eastAsia="宋体"/>
          <w:lang w:eastAsia="zh-CN"/>
        </w:rPr>
      </w:pPr>
      <w:r>
        <w:drawing>
          <wp:inline distT="0" distB="0" distL="114300" distR="114300">
            <wp:extent cx="5513070" cy="2828290"/>
            <wp:effectExtent l="0" t="0" r="11430" b="10160"/>
            <wp:docPr id="7"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true"/>
                    </pic:cNvPicPr>
                  </pic:nvPicPr>
                  <pic:blipFill>
                    <a:blip r:embed="rId11"/>
                    <a:stretch>
                      <a:fillRect/>
                    </a:stretch>
                  </pic:blipFill>
                  <pic:spPr>
                    <a:xfrm>
                      <a:off x="0" y="0"/>
                      <a:ext cx="5513070" cy="2828290"/>
                    </a:xfrm>
                    <a:prstGeom prst="rect">
                      <a:avLst/>
                    </a:prstGeom>
                    <a:noFill/>
                    <a:ln>
                      <a:noFill/>
                    </a:ln>
                  </pic:spPr>
                </pic:pic>
              </a:graphicData>
            </a:graphic>
          </wp:inline>
        </w:drawing>
      </w:r>
    </w:p>
    <w:p>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center"/>
        <w:textAlignment w:val="auto"/>
        <w:outlineLvl w:val="9"/>
        <w:rPr>
          <w:rFonts w:hint="eastAsia" w:ascii="仿宋_GB2312" w:hAnsi="仿宋_GB2312" w:eastAsia="仿宋_GB2312"/>
          <w:color w:val="000000"/>
          <w:kern w:val="2"/>
          <w:sz w:val="32"/>
          <w:szCs w:val="32"/>
          <w:highlight w:val="none"/>
          <w:lang w:val="en-US"/>
        </w:rPr>
      </w:pPr>
      <w:r>
        <w:rPr>
          <w:rFonts w:hint="eastAsia" w:ascii="仿宋_GB2312" w:hAnsi="仿宋_GB2312" w:eastAsia="仿宋_GB2312"/>
          <w:color w:val="000000"/>
          <w:kern w:val="2"/>
          <w:sz w:val="32"/>
          <w:szCs w:val="32"/>
          <w:highlight w:val="none"/>
          <w:lang w:val="en-US"/>
        </w:rPr>
        <w:t>图4：财政拨款收、支决算总计变动情况</w:t>
      </w:r>
      <w:r>
        <w:rPr>
          <w:rFonts w:hint="eastAsia" w:ascii="仿宋_GB2312" w:hAnsi="仿宋_GB2312" w:eastAsia="仿宋_GB2312"/>
          <w:color w:val="000000"/>
          <w:kern w:val="2"/>
          <w:sz w:val="32"/>
          <w:szCs w:val="32"/>
          <w:highlight w:val="none"/>
          <w:lang w:val="en-US" w:eastAsia="zh-CN"/>
        </w:rPr>
        <w:t>（单位：万元）</w:t>
      </w:r>
    </w:p>
    <w:p>
      <w:pPr>
        <w:spacing w:line="600" w:lineRule="exact"/>
        <w:ind w:firstLine="640" w:firstLineChars="200"/>
        <w:outlineLvl w:val="1"/>
        <w:rPr>
          <w:rStyle w:val="31"/>
          <w:rFonts w:ascii="黑体" w:hAnsi="黑体" w:eastAsia="黑体"/>
          <w:b w:val="0"/>
        </w:rPr>
      </w:pPr>
      <w:bookmarkStart w:id="36" w:name="_Toc15396607"/>
      <w:bookmarkStart w:id="37" w:name="_Toc27376"/>
      <w:bookmarkStart w:id="38" w:name="_Toc15377209"/>
      <w:r>
        <w:rPr>
          <w:rFonts w:hint="eastAsia" w:ascii="黑体" w:hAnsi="黑体" w:eastAsia="黑体"/>
          <w:sz w:val="32"/>
          <w:szCs w:val="32"/>
        </w:rPr>
        <w:t>五、</w:t>
      </w:r>
      <w:r>
        <w:rPr>
          <w:rFonts w:hint="eastAsia" w:ascii="黑体" w:hAnsi="黑体" w:eastAsia="黑体"/>
          <w:b/>
          <w:sz w:val="32"/>
          <w:szCs w:val="32"/>
        </w:rPr>
        <w:t>一</w:t>
      </w:r>
      <w:r>
        <w:rPr>
          <w:rStyle w:val="31"/>
          <w:rFonts w:hint="eastAsia" w:ascii="黑体" w:hAnsi="黑体" w:eastAsia="黑体"/>
          <w:b w:val="0"/>
        </w:rPr>
        <w:t>般公共预算财政拨款支出决算情况说明</w:t>
      </w:r>
      <w:bookmarkEnd w:id="36"/>
      <w:bookmarkEnd w:id="37"/>
      <w:bookmarkEnd w:id="38"/>
    </w:p>
    <w:p>
      <w:pPr>
        <w:spacing w:line="600" w:lineRule="exact"/>
        <w:ind w:firstLine="642" w:firstLineChars="200"/>
        <w:rPr>
          <w:rFonts w:ascii="仿宋" w:hAnsi="仿宋" w:eastAsia="仿宋"/>
          <w:b/>
          <w:sz w:val="32"/>
          <w:szCs w:val="32"/>
        </w:rPr>
      </w:pPr>
      <w:bookmarkStart w:id="39" w:name="_Toc15377210"/>
      <w:r>
        <w:rPr>
          <w:rFonts w:hint="eastAsia" w:ascii="仿宋" w:hAnsi="仿宋" w:eastAsia="仿宋"/>
          <w:b/>
          <w:sz w:val="32"/>
          <w:szCs w:val="32"/>
        </w:rPr>
        <w:t>（一）一般公共预算财政拨款支出决算总体情况</w:t>
      </w:r>
      <w:bookmarkEnd w:id="39"/>
    </w:p>
    <w:p>
      <w:pPr>
        <w:spacing w:line="600" w:lineRule="exact"/>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eastAsia="仿宋"/>
          <w:color w:val="auto"/>
          <w:sz w:val="32"/>
          <w:szCs w:val="32"/>
          <w:lang w:val="en-US" w:eastAsia="zh-CN"/>
        </w:rPr>
        <w:t>5,251.99</w:t>
      </w:r>
      <w:r>
        <w:rPr>
          <w:rFonts w:hint="eastAsia" w:ascii="仿宋" w:hAnsi="仿宋" w:eastAsia="仿宋"/>
          <w:sz w:val="32"/>
          <w:szCs w:val="32"/>
        </w:rPr>
        <w:t>万元，占本年支出合计的</w:t>
      </w:r>
      <w:r>
        <w:rPr>
          <w:rFonts w:hint="eastAsia" w:eastAsia="仿宋"/>
          <w:sz w:val="32"/>
          <w:szCs w:val="32"/>
          <w:lang w:val="en-US" w:eastAsia="zh-CN"/>
        </w:rPr>
        <w:t>53.5</w:t>
      </w:r>
      <w:r>
        <w:rPr>
          <w:rFonts w:ascii="仿宋" w:hAnsi="仿宋" w:eastAsia="仿宋"/>
          <w:sz w:val="32"/>
          <w:szCs w:val="32"/>
        </w:rPr>
        <w:t>%</w:t>
      </w:r>
      <w:r>
        <w:rPr>
          <w:rFonts w:hint="eastAsia" w:ascii="仿宋" w:hAnsi="仿宋" w:eastAsia="仿宋"/>
          <w:sz w:val="32"/>
          <w:szCs w:val="32"/>
        </w:rPr>
        <w:t>。与202</w:t>
      </w:r>
      <w:r>
        <w:rPr>
          <w:rFonts w:hint="eastAsia" w:ascii="仿宋" w:hAnsi="仿宋" w:eastAsia="仿宋"/>
          <w:sz w:val="32"/>
          <w:szCs w:val="32"/>
          <w:lang w:val="en-US" w:eastAsia="zh-CN"/>
        </w:rPr>
        <w:t>3</w:t>
      </w:r>
      <w:r>
        <w:rPr>
          <w:rFonts w:hint="eastAsia" w:ascii="仿宋" w:hAnsi="仿宋" w:eastAsia="仿宋"/>
          <w:sz w:val="32"/>
          <w:szCs w:val="32"/>
        </w:rPr>
        <w:t>年度相比，一般公共预算财政拨款支出</w:t>
      </w:r>
      <w:r>
        <w:rPr>
          <w:rFonts w:hint="eastAsia" w:ascii="仿宋" w:hAnsi="仿宋" w:eastAsia="仿宋"/>
          <w:sz w:val="32"/>
          <w:szCs w:val="32"/>
          <w:lang w:eastAsia="zh-CN"/>
        </w:rPr>
        <w:t>减少</w:t>
      </w:r>
      <w:r>
        <w:rPr>
          <w:rFonts w:hint="eastAsia" w:ascii="仿宋" w:hAnsi="仿宋" w:eastAsia="仿宋"/>
          <w:sz w:val="32"/>
          <w:szCs w:val="32"/>
          <w:lang w:val="en-US" w:eastAsia="zh-CN"/>
        </w:rPr>
        <w:t>4,916.22</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48.3</w:t>
      </w:r>
      <w:r>
        <w:rPr>
          <w:rFonts w:ascii="仿宋" w:hAnsi="仿宋" w:eastAsia="仿宋"/>
          <w:sz w:val="32"/>
          <w:szCs w:val="32"/>
        </w:rPr>
        <w:t>%</w:t>
      </w:r>
      <w:r>
        <w:rPr>
          <w:rFonts w:hint="eastAsia" w:ascii="仿宋" w:hAnsi="仿宋" w:eastAsia="仿宋"/>
          <w:sz w:val="32"/>
          <w:szCs w:val="32"/>
        </w:rPr>
        <w:t>。主要变动原因是广元市社会福利院基建项目资金</w:t>
      </w:r>
      <w:r>
        <w:rPr>
          <w:rFonts w:hint="eastAsia" w:ascii="仿宋" w:hAnsi="仿宋" w:eastAsia="仿宋"/>
          <w:sz w:val="32"/>
          <w:szCs w:val="32"/>
          <w:lang w:eastAsia="zh-CN"/>
        </w:rPr>
        <w:t>减少</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p>
    <w:p>
      <w:pPr>
        <w:pStyle w:val="33"/>
        <w:outlineLvl w:val="9"/>
        <w:rPr>
          <w:rFonts w:hint="eastAsia" w:eastAsia="黑体"/>
          <w:lang w:eastAsia="zh-CN"/>
        </w:rPr>
      </w:pPr>
      <w:r>
        <w:drawing>
          <wp:inline distT="0" distB="0" distL="114300" distR="114300">
            <wp:extent cx="5452745" cy="2755265"/>
            <wp:effectExtent l="0" t="0" r="14605" b="6985"/>
            <wp:docPr id="8"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true"/>
                    </pic:cNvPicPr>
                  </pic:nvPicPr>
                  <pic:blipFill>
                    <a:blip r:embed="rId12"/>
                    <a:stretch>
                      <a:fillRect/>
                    </a:stretch>
                  </pic:blipFill>
                  <pic:spPr>
                    <a:xfrm>
                      <a:off x="0" y="0"/>
                      <a:ext cx="5452745" cy="2755265"/>
                    </a:xfrm>
                    <a:prstGeom prst="rect">
                      <a:avLst/>
                    </a:prstGeom>
                    <a:noFill/>
                    <a:ln>
                      <a:noFill/>
                    </a:ln>
                  </pic:spPr>
                </pic:pic>
              </a:graphicData>
            </a:graphic>
          </wp:inline>
        </w:drawing>
      </w:r>
    </w:p>
    <w:p>
      <w:pPr>
        <w:keepNext w:val="0"/>
        <w:keepLines w:val="0"/>
        <w:pageBreakBefore w:val="0"/>
        <w:widowControl w:val="0"/>
        <w:kinsoku/>
        <w:wordWrap/>
        <w:overflowPunct w:val="0"/>
        <w:topLinePunct/>
        <w:autoSpaceDE w:val="0"/>
        <w:autoSpaceDN w:val="0"/>
        <w:bidi w:val="0"/>
        <w:adjustRightInd/>
        <w:snapToGrid/>
        <w:spacing w:line="576" w:lineRule="exact"/>
        <w:jc w:val="center"/>
        <w:textAlignment w:val="auto"/>
        <w:outlineLvl w:val="9"/>
        <w:rPr>
          <w:rFonts w:hint="eastAsia" w:ascii="Times New Roman" w:hAnsi="Times New Roman" w:eastAsia="楷体_GB2312" w:cs="楷体_GB2312"/>
          <w:b/>
          <w:color w:val="auto"/>
          <w:sz w:val="32"/>
          <w:szCs w:val="32"/>
          <w:highlight w:val="none"/>
        </w:rPr>
      </w:pPr>
      <w:bookmarkStart w:id="40" w:name="_Toc15377211"/>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r>
        <w:rPr>
          <w:rFonts w:hint="eastAsia" w:ascii="仿宋_GB2312" w:hAnsi="仿宋_GB2312" w:eastAsia="仿宋_GB2312"/>
          <w:color w:val="000000"/>
          <w:kern w:val="2"/>
          <w:sz w:val="32"/>
          <w:szCs w:val="32"/>
          <w:highlight w:val="none"/>
          <w:lang w:val="en-US" w:eastAsia="zh-CN"/>
        </w:rPr>
        <w:t>（单位：万元）</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ascii="仿宋" w:hAnsi="仿宋" w:eastAsia="仿宋"/>
          <w:b/>
          <w:sz w:val="32"/>
          <w:szCs w:val="32"/>
        </w:rPr>
      </w:pPr>
      <w:r>
        <w:rPr>
          <w:rFonts w:hint="eastAsia" w:ascii="仿宋" w:hAnsi="仿宋" w:eastAsia="仿宋"/>
          <w:b/>
          <w:sz w:val="32"/>
          <w:szCs w:val="32"/>
        </w:rPr>
        <w:t>（二）一般公共预算财政拨款支出决算结构情况</w:t>
      </w:r>
      <w:bookmarkEnd w:id="40"/>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eastAsia="仿宋"/>
          <w:color w:val="auto"/>
          <w:sz w:val="32"/>
          <w:szCs w:val="32"/>
          <w:lang w:val="en-US" w:eastAsia="zh-CN"/>
        </w:rPr>
        <w:t>5,251.99</w:t>
      </w:r>
      <w:r>
        <w:rPr>
          <w:rFonts w:hint="eastAsia" w:ascii="仿宋" w:hAnsi="仿宋" w:eastAsia="仿宋"/>
          <w:sz w:val="32"/>
          <w:szCs w:val="32"/>
        </w:rPr>
        <w:t>万元，主要用于</w:t>
      </w:r>
      <w:r>
        <w:rPr>
          <w:rFonts w:hint="eastAsia" w:ascii="仿宋" w:hAnsi="仿宋" w:eastAsia="仿宋"/>
          <w:color w:val="auto"/>
          <w:sz w:val="32"/>
          <w:szCs w:val="32"/>
        </w:rPr>
        <w:t>以下方面</w:t>
      </w:r>
      <w:r>
        <w:rPr>
          <w:rFonts w:hint="eastAsia" w:ascii="仿宋" w:hAnsi="仿宋" w:eastAsia="仿宋"/>
          <w:color w:val="auto"/>
          <w:sz w:val="32"/>
          <w:szCs w:val="32"/>
          <w:lang w:eastAsia="zh-CN"/>
        </w:rPr>
        <w:t>：</w:t>
      </w:r>
      <w:r>
        <w:rPr>
          <w:rFonts w:hint="eastAsia" w:ascii="仿宋" w:hAnsi="仿宋" w:eastAsia="仿宋"/>
          <w:b/>
          <w:color w:val="auto"/>
          <w:sz w:val="32"/>
          <w:szCs w:val="32"/>
        </w:rPr>
        <w:t>社会保障和就业</w:t>
      </w:r>
      <w:r>
        <w:rPr>
          <w:rFonts w:hint="eastAsia" w:ascii="仿宋" w:hAnsi="仿宋" w:eastAsia="仿宋"/>
          <w:b/>
          <w:bCs/>
          <w:color w:val="auto"/>
          <w:sz w:val="32"/>
          <w:szCs w:val="32"/>
        </w:rPr>
        <w:t>支出</w:t>
      </w:r>
      <w:r>
        <w:rPr>
          <w:rFonts w:hint="eastAsia" w:ascii="仿宋" w:hAnsi="仿宋" w:eastAsia="仿宋"/>
          <w:color w:val="auto"/>
          <w:sz w:val="32"/>
          <w:szCs w:val="32"/>
          <w:lang w:val="en-US" w:eastAsia="zh-CN"/>
        </w:rPr>
        <w:t>4,945.51</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94.2</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bCs/>
          <w:color w:val="auto"/>
          <w:sz w:val="32"/>
          <w:szCs w:val="32"/>
        </w:rPr>
        <w:t>卫生健康支出</w:t>
      </w:r>
      <w:r>
        <w:rPr>
          <w:rFonts w:hint="eastAsia" w:ascii="仿宋" w:hAnsi="仿宋" w:eastAsia="仿宋"/>
          <w:color w:val="auto"/>
          <w:sz w:val="32"/>
          <w:szCs w:val="32"/>
          <w:lang w:val="en-US" w:eastAsia="zh-CN"/>
        </w:rPr>
        <w:t>87.16</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1.6</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bCs/>
          <w:color w:val="auto"/>
          <w:sz w:val="32"/>
          <w:szCs w:val="32"/>
        </w:rPr>
        <w:t>住房保障支出</w:t>
      </w:r>
      <w:r>
        <w:rPr>
          <w:rFonts w:hint="eastAsia" w:ascii="仿宋" w:hAnsi="仿宋" w:eastAsia="仿宋"/>
          <w:color w:val="auto"/>
          <w:sz w:val="32"/>
          <w:szCs w:val="32"/>
          <w:lang w:val="en-US" w:eastAsia="zh-CN"/>
        </w:rPr>
        <w:t>218.32</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4.2</w:t>
      </w:r>
      <w:r>
        <w:rPr>
          <w:rFonts w:ascii="仿宋" w:hAnsi="仿宋" w:eastAsia="仿宋"/>
          <w:color w:val="auto"/>
          <w:sz w:val="32"/>
          <w:szCs w:val="32"/>
        </w:rPr>
        <w:t>%</w:t>
      </w:r>
      <w:r>
        <w:rPr>
          <w:rFonts w:hint="eastAsia" w:ascii="仿宋" w:hAnsi="仿宋" w:eastAsia="仿宋"/>
          <w:sz w:val="32"/>
          <w:szCs w:val="32"/>
        </w:rPr>
        <w:t>。</w:t>
      </w:r>
    </w:p>
    <w:p>
      <w:pPr>
        <w:pStyle w:val="33"/>
        <w:outlineLvl w:val="9"/>
        <w:rPr>
          <w:rFonts w:hint="eastAsia" w:eastAsia="黑体"/>
          <w:lang w:eastAsia="zh-CN"/>
        </w:rPr>
      </w:pPr>
      <w:r>
        <w:drawing>
          <wp:inline distT="0" distB="0" distL="114300" distR="114300">
            <wp:extent cx="5695315" cy="2268855"/>
            <wp:effectExtent l="0" t="0" r="635" b="17145"/>
            <wp:docPr id="9"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true"/>
                    </pic:cNvPicPr>
                  </pic:nvPicPr>
                  <pic:blipFill>
                    <a:blip r:embed="rId13"/>
                    <a:stretch>
                      <a:fillRect/>
                    </a:stretch>
                  </pic:blipFill>
                  <pic:spPr>
                    <a:xfrm>
                      <a:off x="0" y="0"/>
                      <a:ext cx="5695315" cy="226885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图6：一般公共预算财政拨款支出决算结构</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ascii="仿宋" w:hAnsi="仿宋" w:eastAsia="仿宋"/>
          <w:b/>
          <w:sz w:val="32"/>
          <w:szCs w:val="32"/>
        </w:rPr>
      </w:pPr>
      <w:bookmarkStart w:id="41" w:name="_Toc15377212"/>
      <w:r>
        <w:rPr>
          <w:rFonts w:hint="eastAsia" w:ascii="仿宋" w:hAnsi="仿宋" w:eastAsia="仿宋"/>
          <w:b/>
          <w:sz w:val="32"/>
          <w:szCs w:val="32"/>
        </w:rPr>
        <w:t>（三）一般公共预算财政拨款支出决算具体情况</w:t>
      </w:r>
      <w:bookmarkEnd w:id="41"/>
    </w:p>
    <w:p>
      <w:pPr>
        <w:pStyle w:val="7"/>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Times New Roman"/>
          <w:color w:val="000000"/>
          <w:kern w:val="2"/>
          <w:sz w:val="32"/>
          <w:szCs w:val="32"/>
          <w:lang w:val="en-US" w:eastAsia="zh-CN" w:bidi="ar-SA"/>
        </w:rPr>
      </w:pPr>
      <w:bookmarkStart w:id="42" w:name="_Toc15378460"/>
      <w:bookmarkStart w:id="43" w:name="_Toc15377213"/>
      <w:bookmarkStart w:id="44" w:name="_Toc15377444"/>
      <w:r>
        <w:rPr>
          <w:rFonts w:hint="eastAsia" w:ascii="仿宋_GB2312" w:hAnsi="仿宋_GB2312" w:eastAsia="仿宋_GB2312" w:cs="Times New Roman"/>
          <w:color w:val="000000"/>
          <w:kern w:val="2"/>
          <w:sz w:val="32"/>
          <w:szCs w:val="32"/>
          <w:lang w:val="en-US" w:eastAsia="zh-CN" w:bidi="ar-SA"/>
        </w:rPr>
        <w:t>2024年度一般公共预算支出决算数为5,251.99万元，完成预算98.06%。其中：</w:t>
      </w:r>
      <w:bookmarkEnd w:id="42"/>
      <w:bookmarkEnd w:id="43"/>
      <w:bookmarkEnd w:id="44"/>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b/>
          <w:bCs/>
          <w:color w:val="000000"/>
          <w:kern w:val="2"/>
          <w:sz w:val="32"/>
          <w:szCs w:val="32"/>
          <w:lang w:val="en-US" w:eastAsia="zh-CN" w:bidi="ar-SA"/>
        </w:rPr>
        <w:t xml:space="preserve">1.一般公共服务（类）人大事务（款）一般行政管理事务（项）： </w:t>
      </w:r>
      <w:r>
        <w:rPr>
          <w:rFonts w:hint="eastAsia" w:ascii="仿宋_GB2312" w:hAnsi="仿宋_GB2312" w:eastAsia="仿宋_GB2312" w:cs="Times New Roman"/>
          <w:color w:val="000000"/>
          <w:kern w:val="2"/>
          <w:sz w:val="32"/>
          <w:szCs w:val="32"/>
          <w:lang w:val="en-US" w:eastAsia="zh-CN" w:bidi="ar-SA"/>
        </w:rPr>
        <w:t>支出决算为1万元，完成预算100%。</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b/>
          <w:bCs/>
          <w:color w:val="000000"/>
          <w:kern w:val="2"/>
          <w:sz w:val="32"/>
          <w:szCs w:val="32"/>
          <w:lang w:val="en-US" w:eastAsia="zh-CN" w:bidi="ar-SA"/>
        </w:rPr>
        <w:t>2.社会保障和就业（类）人力资源和就业保障管理事务（款）引进人才费用（项）：</w:t>
      </w:r>
      <w:r>
        <w:rPr>
          <w:rFonts w:hint="eastAsia" w:ascii="仿宋_GB2312" w:hAnsi="仿宋_GB2312" w:eastAsia="仿宋_GB2312" w:cs="Times New Roman"/>
          <w:color w:val="000000"/>
          <w:kern w:val="2"/>
          <w:sz w:val="32"/>
          <w:szCs w:val="32"/>
          <w:lang w:val="en-US" w:eastAsia="zh-CN" w:bidi="ar-SA"/>
        </w:rPr>
        <w:t xml:space="preserve"> 支出决算为21.15万元，完成预算100%。</w:t>
      </w:r>
    </w:p>
    <w:p>
      <w:pPr>
        <w:pStyle w:val="2"/>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b/>
          <w:bCs/>
          <w:color w:val="000000"/>
          <w:kern w:val="2"/>
          <w:sz w:val="32"/>
          <w:szCs w:val="32"/>
          <w:lang w:val="en-US" w:eastAsia="zh-CN" w:bidi="ar-SA"/>
        </w:rPr>
        <w:t>3.社会保障和就业（类）人力资源和就业保障管理事务（款）其他人才资源和社会保障管理（项）</w:t>
      </w:r>
      <w:r>
        <w:rPr>
          <w:rFonts w:hint="eastAsia" w:hAnsi="仿宋_GB2312" w:cs="Times New Roman"/>
          <w:b/>
          <w:bCs/>
          <w:color w:val="000000"/>
          <w:kern w:val="2"/>
          <w:sz w:val="32"/>
          <w:szCs w:val="32"/>
          <w:lang w:val="en-US" w:eastAsia="zh-CN" w:bidi="ar-SA"/>
        </w:rPr>
        <w:t>：</w:t>
      </w:r>
      <w:r>
        <w:rPr>
          <w:rFonts w:hint="eastAsia" w:ascii="仿宋_GB2312" w:hAnsi="仿宋_GB2312" w:eastAsia="仿宋_GB2312" w:cs="Times New Roman"/>
          <w:color w:val="000000"/>
          <w:kern w:val="2"/>
          <w:sz w:val="32"/>
          <w:szCs w:val="32"/>
          <w:lang w:val="en-US" w:eastAsia="zh-CN" w:bidi="ar-SA"/>
        </w:rPr>
        <w:t xml:space="preserve"> 支出决算为1万元，完成预算100%。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b/>
          <w:bCs/>
          <w:color w:val="000000"/>
          <w:kern w:val="2"/>
          <w:sz w:val="32"/>
          <w:szCs w:val="32"/>
          <w:lang w:val="en-US" w:eastAsia="zh-CN" w:bidi="ar-SA"/>
        </w:rPr>
        <w:t xml:space="preserve">4.社会保障和就业（类）民政管理事务（款）行政运行（项）： </w:t>
      </w:r>
      <w:r>
        <w:rPr>
          <w:rFonts w:hint="eastAsia" w:ascii="仿宋_GB2312" w:hAnsi="仿宋_GB2312" w:eastAsia="仿宋_GB2312" w:cs="Times New Roman"/>
          <w:color w:val="000000"/>
          <w:kern w:val="2"/>
          <w:sz w:val="32"/>
          <w:szCs w:val="32"/>
          <w:lang w:val="en-US" w:eastAsia="zh-CN" w:bidi="ar-SA"/>
        </w:rPr>
        <w:t>支出决算为653.11万元，完成预算100%。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b/>
          <w:bCs/>
          <w:color w:val="000000"/>
          <w:kern w:val="2"/>
          <w:sz w:val="32"/>
          <w:szCs w:val="32"/>
          <w:lang w:val="en-US" w:eastAsia="zh-CN" w:bidi="ar-SA"/>
        </w:rPr>
        <w:t>5.社会保障和就业（类）民政管理事务（款）一般行政管理事务（项）：</w:t>
      </w:r>
      <w:r>
        <w:rPr>
          <w:rFonts w:hint="eastAsia" w:ascii="仿宋_GB2312" w:hAnsi="仿宋_GB2312" w:eastAsia="仿宋_GB2312" w:cs="Times New Roman"/>
          <w:color w:val="000000"/>
          <w:kern w:val="2"/>
          <w:sz w:val="32"/>
          <w:szCs w:val="32"/>
          <w:lang w:val="en-US" w:eastAsia="zh-CN" w:bidi="ar-SA"/>
        </w:rPr>
        <w:t xml:space="preserve"> 支出决算为3万元，完成预算100%。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b/>
          <w:bCs/>
          <w:color w:val="000000"/>
          <w:kern w:val="2"/>
          <w:sz w:val="32"/>
          <w:szCs w:val="32"/>
          <w:lang w:val="en-US" w:eastAsia="zh-CN" w:bidi="ar-SA"/>
        </w:rPr>
        <w:t>6.社会保障和就业（类）民政管理事务（款）机关服务（项）：</w:t>
      </w:r>
      <w:r>
        <w:rPr>
          <w:rFonts w:hint="eastAsia" w:ascii="仿宋_GB2312" w:hAnsi="仿宋_GB2312" w:eastAsia="仿宋_GB2312" w:cs="Times New Roman"/>
          <w:color w:val="000000"/>
          <w:kern w:val="2"/>
          <w:sz w:val="32"/>
          <w:szCs w:val="32"/>
          <w:lang w:val="en-US" w:eastAsia="zh-CN" w:bidi="ar-SA"/>
        </w:rPr>
        <w:t xml:space="preserve"> 支出决算为137.39万元，完成预算100%。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b/>
          <w:bCs/>
          <w:color w:val="000000"/>
          <w:kern w:val="2"/>
          <w:sz w:val="32"/>
          <w:szCs w:val="32"/>
          <w:lang w:val="en-US" w:eastAsia="zh-CN" w:bidi="ar-SA"/>
        </w:rPr>
        <w:t xml:space="preserve">4.社会保障和就业（类）民政管理事务（款）社会组织管理（项）： </w:t>
      </w:r>
      <w:r>
        <w:rPr>
          <w:rFonts w:hint="eastAsia" w:ascii="仿宋_GB2312" w:hAnsi="仿宋_GB2312" w:eastAsia="仿宋_GB2312" w:cs="Times New Roman"/>
          <w:color w:val="000000"/>
          <w:kern w:val="2"/>
          <w:sz w:val="32"/>
          <w:szCs w:val="32"/>
          <w:lang w:val="en-US" w:eastAsia="zh-CN" w:bidi="ar-SA"/>
        </w:rPr>
        <w:t>支出决算为8.52万元，完成预算100%。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b/>
          <w:bCs/>
          <w:color w:val="000000"/>
          <w:kern w:val="2"/>
          <w:sz w:val="32"/>
          <w:szCs w:val="32"/>
          <w:lang w:val="en-US" w:eastAsia="zh-CN" w:bidi="ar-SA"/>
        </w:rPr>
        <w:t>5.社会保障和就业（类）民政管理事务（款）行政区划和地名管理（项）：</w:t>
      </w:r>
      <w:r>
        <w:rPr>
          <w:rFonts w:hint="eastAsia" w:ascii="仿宋_GB2312" w:hAnsi="仿宋_GB2312" w:eastAsia="仿宋_GB2312" w:cs="Times New Roman"/>
          <w:color w:val="000000"/>
          <w:kern w:val="2"/>
          <w:sz w:val="32"/>
          <w:szCs w:val="32"/>
          <w:lang w:val="en-US" w:eastAsia="zh-CN" w:bidi="ar-SA"/>
        </w:rPr>
        <w:t xml:space="preserve"> 支出决算为6.4万元，完成预算100%。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b/>
          <w:bCs/>
          <w:color w:val="000000"/>
          <w:kern w:val="2"/>
          <w:sz w:val="32"/>
          <w:szCs w:val="32"/>
          <w:lang w:val="en-US" w:eastAsia="zh-CN" w:bidi="ar-SA"/>
        </w:rPr>
        <w:t>6.社会保障和就业（类）民政管理事务（款）其他民政管理事务支出（项）：</w:t>
      </w:r>
      <w:r>
        <w:rPr>
          <w:rFonts w:hint="eastAsia" w:ascii="仿宋_GB2312" w:hAnsi="仿宋_GB2312" w:eastAsia="仿宋_GB2312" w:cs="Times New Roman"/>
          <w:color w:val="000000"/>
          <w:kern w:val="2"/>
          <w:sz w:val="32"/>
          <w:szCs w:val="32"/>
          <w:lang w:val="en-US" w:eastAsia="zh-CN" w:bidi="ar-SA"/>
        </w:rPr>
        <w:t xml:space="preserve"> 支出决算为120.08万元，完成预算100%。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b/>
          <w:bCs/>
          <w:color w:val="000000"/>
          <w:kern w:val="2"/>
          <w:sz w:val="32"/>
          <w:szCs w:val="32"/>
          <w:lang w:val="en-US" w:eastAsia="zh-CN" w:bidi="ar-SA"/>
        </w:rPr>
        <w:t xml:space="preserve">7.社会保障和就业（类）行政事业单位养老支出（款）机关事业单位基本养老保险缴费支出（项）： </w:t>
      </w:r>
      <w:r>
        <w:rPr>
          <w:rFonts w:hint="eastAsia" w:ascii="仿宋_GB2312" w:hAnsi="仿宋_GB2312" w:eastAsia="仿宋_GB2312" w:cs="Times New Roman"/>
          <w:color w:val="000000"/>
          <w:kern w:val="2"/>
          <w:sz w:val="32"/>
          <w:szCs w:val="32"/>
          <w:lang w:val="en-US" w:eastAsia="zh-CN" w:bidi="ar-SA"/>
        </w:rPr>
        <w:t>支出决算为262.71万元，完成预算100%。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b/>
          <w:bCs/>
          <w:color w:val="000000"/>
          <w:kern w:val="2"/>
          <w:sz w:val="32"/>
          <w:szCs w:val="32"/>
          <w:lang w:val="en-US" w:eastAsia="zh-CN" w:bidi="ar-SA"/>
        </w:rPr>
        <w:t xml:space="preserve">8.社会保障和就业（类）社会福利（款）儿童福利（项）： </w:t>
      </w:r>
      <w:r>
        <w:rPr>
          <w:rFonts w:hint="eastAsia" w:ascii="仿宋_GB2312" w:hAnsi="仿宋_GB2312" w:eastAsia="仿宋_GB2312" w:cs="Times New Roman"/>
          <w:color w:val="000000"/>
          <w:kern w:val="2"/>
          <w:sz w:val="32"/>
          <w:szCs w:val="32"/>
          <w:lang w:val="en-US" w:eastAsia="zh-CN" w:bidi="ar-SA"/>
        </w:rPr>
        <w:t>支出决算为529.79万元，完成预算99.5%，决算数小于预算数的主要原因是按项目进度付款，部分资金下年支付。</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b/>
          <w:bCs/>
          <w:color w:val="000000"/>
          <w:kern w:val="2"/>
          <w:sz w:val="32"/>
          <w:szCs w:val="32"/>
          <w:lang w:val="en-US" w:eastAsia="zh-CN" w:bidi="ar-SA"/>
        </w:rPr>
        <w:t>9.社会保障和就业（类）社会福利（款）老年福利（项）：</w:t>
      </w:r>
      <w:r>
        <w:rPr>
          <w:rFonts w:hint="eastAsia" w:ascii="仿宋_GB2312" w:hAnsi="仿宋_GB2312" w:eastAsia="仿宋_GB2312" w:cs="Times New Roman"/>
          <w:color w:val="000000"/>
          <w:kern w:val="2"/>
          <w:sz w:val="32"/>
          <w:szCs w:val="32"/>
          <w:lang w:val="en-US" w:eastAsia="zh-CN" w:bidi="ar-SA"/>
        </w:rPr>
        <w:t xml:space="preserve"> 支出决算为160.67万元，完成预算100%。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b/>
          <w:bCs/>
          <w:color w:val="000000"/>
          <w:kern w:val="2"/>
          <w:sz w:val="32"/>
          <w:szCs w:val="32"/>
          <w:lang w:val="en-US" w:eastAsia="zh-CN" w:bidi="ar-SA"/>
        </w:rPr>
        <w:t>10.社会保障和就业（类）社会福利（款）殡葬（项）：</w:t>
      </w:r>
      <w:r>
        <w:rPr>
          <w:rFonts w:hint="eastAsia" w:ascii="仿宋_GB2312" w:hAnsi="仿宋_GB2312" w:eastAsia="仿宋_GB2312" w:cs="Times New Roman"/>
          <w:color w:val="000000"/>
          <w:kern w:val="2"/>
          <w:sz w:val="32"/>
          <w:szCs w:val="32"/>
          <w:lang w:val="en-US" w:eastAsia="zh-CN" w:bidi="ar-SA"/>
        </w:rPr>
        <w:t xml:space="preserve"> 支出决算为166.19万元，完成预算100%。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b/>
          <w:bCs/>
          <w:color w:val="000000"/>
          <w:kern w:val="2"/>
          <w:sz w:val="32"/>
          <w:szCs w:val="32"/>
          <w:lang w:val="en-US" w:eastAsia="zh-CN" w:bidi="ar-SA"/>
        </w:rPr>
        <w:t xml:space="preserve">11.社会保障和就业（类）社会福利（款）社会福利事业单位（项）： </w:t>
      </w:r>
      <w:r>
        <w:rPr>
          <w:rFonts w:hint="eastAsia" w:ascii="仿宋_GB2312" w:hAnsi="仿宋_GB2312" w:eastAsia="仿宋_GB2312" w:cs="Times New Roman"/>
          <w:color w:val="000000"/>
          <w:kern w:val="2"/>
          <w:sz w:val="32"/>
          <w:szCs w:val="32"/>
          <w:lang w:val="en-US" w:eastAsia="zh-CN" w:bidi="ar-SA"/>
        </w:rPr>
        <w:t>支出决算为494.23万元，完成预算100%。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b/>
          <w:bCs/>
          <w:color w:val="000000"/>
          <w:kern w:val="2"/>
          <w:sz w:val="32"/>
          <w:szCs w:val="32"/>
          <w:lang w:val="en-US" w:eastAsia="zh-CN" w:bidi="ar-SA"/>
        </w:rPr>
        <w:t>12.社会保障和就业（类）社会福利（款）养老服务（项）：</w:t>
      </w:r>
      <w:r>
        <w:rPr>
          <w:rFonts w:hint="eastAsia" w:ascii="仿宋_GB2312" w:hAnsi="仿宋_GB2312" w:eastAsia="仿宋_GB2312" w:cs="Times New Roman"/>
          <w:color w:val="000000"/>
          <w:kern w:val="2"/>
          <w:sz w:val="32"/>
          <w:szCs w:val="32"/>
          <w:lang w:val="en-US" w:eastAsia="zh-CN" w:bidi="ar-SA"/>
        </w:rPr>
        <w:t xml:space="preserve"> 支出决算为254.14万元，完成预算100%。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b/>
          <w:bCs/>
          <w:color w:val="000000"/>
          <w:kern w:val="2"/>
          <w:sz w:val="32"/>
          <w:szCs w:val="32"/>
          <w:lang w:val="en-US" w:eastAsia="zh-CN" w:bidi="ar-SA"/>
        </w:rPr>
        <w:t>13.社会保障和就业（类）社会福利（款）其他社会福利支出（项）：</w:t>
      </w:r>
      <w:r>
        <w:rPr>
          <w:rFonts w:hint="eastAsia" w:ascii="仿宋_GB2312" w:hAnsi="仿宋_GB2312" w:eastAsia="仿宋_GB2312" w:cs="Times New Roman"/>
          <w:color w:val="000000"/>
          <w:kern w:val="2"/>
          <w:sz w:val="32"/>
          <w:szCs w:val="32"/>
          <w:lang w:val="en-US" w:eastAsia="zh-CN" w:bidi="ar-SA"/>
        </w:rPr>
        <w:t xml:space="preserve"> 支出决算为700万元，完成预算78.6%，决算数小于预算数的主要原因是项目正在进行中，指标结转至下年。</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b/>
          <w:bCs/>
          <w:color w:val="000000"/>
          <w:kern w:val="2"/>
          <w:sz w:val="32"/>
          <w:szCs w:val="32"/>
          <w:lang w:val="en-US" w:eastAsia="zh-CN" w:bidi="ar-SA"/>
        </w:rPr>
        <w:t xml:space="preserve">14.社会保障和就业（类）临时救助（款）临时救助支出（项）： </w:t>
      </w:r>
      <w:r>
        <w:rPr>
          <w:rFonts w:hint="eastAsia" w:ascii="仿宋_GB2312" w:hAnsi="仿宋_GB2312" w:eastAsia="仿宋_GB2312" w:cs="Times New Roman"/>
          <w:color w:val="000000"/>
          <w:kern w:val="2"/>
          <w:sz w:val="32"/>
          <w:szCs w:val="32"/>
          <w:lang w:val="en-US" w:eastAsia="zh-CN" w:bidi="ar-SA"/>
        </w:rPr>
        <w:t>支出决算为13.83万元，完成预算100%。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b/>
          <w:bCs/>
          <w:color w:val="000000"/>
          <w:kern w:val="2"/>
          <w:sz w:val="32"/>
          <w:szCs w:val="32"/>
          <w:lang w:val="en-US" w:eastAsia="zh-CN" w:bidi="ar-SA"/>
        </w:rPr>
        <w:t xml:space="preserve">15.社会保障和就业（类）临时救助（款）流浪乞讨人员救助支出（项）： </w:t>
      </w:r>
      <w:r>
        <w:rPr>
          <w:rFonts w:hint="eastAsia" w:ascii="仿宋_GB2312" w:hAnsi="仿宋_GB2312" w:eastAsia="仿宋_GB2312" w:cs="Times New Roman"/>
          <w:color w:val="000000"/>
          <w:kern w:val="2"/>
          <w:sz w:val="32"/>
          <w:szCs w:val="32"/>
          <w:lang w:val="en-US" w:eastAsia="zh-CN" w:bidi="ar-SA"/>
        </w:rPr>
        <w:t>支出决算为1,282.81万元，完成预算100%。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b/>
          <w:bCs/>
          <w:color w:val="000000"/>
          <w:kern w:val="2"/>
          <w:sz w:val="32"/>
          <w:szCs w:val="32"/>
          <w:lang w:val="en-US" w:eastAsia="zh-CN" w:bidi="ar-SA"/>
        </w:rPr>
        <w:t xml:space="preserve">16.社会保障和就业（类）临时救助（款）其他城市生活救助（项）： </w:t>
      </w:r>
      <w:r>
        <w:rPr>
          <w:rFonts w:hint="eastAsia" w:ascii="仿宋_GB2312" w:hAnsi="仿宋_GB2312" w:eastAsia="仿宋_GB2312" w:cs="Times New Roman"/>
          <w:color w:val="000000"/>
          <w:kern w:val="2"/>
          <w:sz w:val="32"/>
          <w:szCs w:val="32"/>
          <w:lang w:val="en-US" w:eastAsia="zh-CN" w:bidi="ar-SA"/>
        </w:rPr>
        <w:t>支出决算为2.3万元，完成预算100%。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b/>
          <w:bCs/>
          <w:color w:val="000000"/>
          <w:kern w:val="2"/>
          <w:sz w:val="32"/>
          <w:szCs w:val="32"/>
          <w:lang w:val="en-US" w:eastAsia="zh-CN" w:bidi="ar-SA"/>
        </w:rPr>
        <w:t>17.社会保障和就业（类）其他社会保障和就业支出（款）其他社会保障和就业支出（项）：</w:t>
      </w:r>
      <w:r>
        <w:rPr>
          <w:rFonts w:hint="eastAsia" w:ascii="仿宋_GB2312" w:hAnsi="仿宋_GB2312" w:eastAsia="仿宋_GB2312" w:cs="Times New Roman"/>
          <w:color w:val="000000"/>
          <w:kern w:val="2"/>
          <w:sz w:val="32"/>
          <w:szCs w:val="32"/>
          <w:lang w:val="en-US" w:eastAsia="zh-CN" w:bidi="ar-SA"/>
        </w:rPr>
        <w:t xml:space="preserve"> 支出决算为128.19万元，完成预算100%。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b/>
          <w:bCs/>
          <w:color w:val="000000"/>
          <w:kern w:val="2"/>
          <w:sz w:val="32"/>
          <w:szCs w:val="32"/>
          <w:lang w:val="en-US" w:eastAsia="zh-CN" w:bidi="ar-SA"/>
        </w:rPr>
        <w:t>18.卫生健康（类）行政事业单位医疗（款）行政单位医疗（项）：</w:t>
      </w:r>
      <w:r>
        <w:rPr>
          <w:rFonts w:hint="eastAsia" w:ascii="仿宋_GB2312" w:hAnsi="仿宋_GB2312" w:eastAsia="仿宋_GB2312" w:cs="Times New Roman"/>
          <w:color w:val="000000"/>
          <w:kern w:val="2"/>
          <w:sz w:val="32"/>
          <w:szCs w:val="32"/>
          <w:lang w:val="en-US" w:eastAsia="zh-CN" w:bidi="ar-SA"/>
        </w:rPr>
        <w:t>支出决算为24.79万元，完成预算100%。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b/>
          <w:bCs/>
          <w:color w:val="000000"/>
          <w:kern w:val="2"/>
          <w:sz w:val="32"/>
          <w:szCs w:val="32"/>
          <w:lang w:val="en-US" w:eastAsia="zh-CN" w:bidi="ar-SA"/>
        </w:rPr>
        <w:t>19.卫生健康（类）行政事业单位医疗（款）事业单位医疗（项）：</w:t>
      </w:r>
      <w:r>
        <w:rPr>
          <w:rFonts w:hint="eastAsia" w:ascii="仿宋_GB2312" w:hAnsi="仿宋_GB2312" w:eastAsia="仿宋_GB2312" w:cs="Times New Roman"/>
          <w:color w:val="000000"/>
          <w:kern w:val="2"/>
          <w:sz w:val="32"/>
          <w:szCs w:val="32"/>
          <w:lang w:val="en-US" w:eastAsia="zh-CN" w:bidi="ar-SA"/>
        </w:rPr>
        <w:t>支出决算为62.38万元，完成预算100%。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b/>
          <w:bCs/>
          <w:color w:val="000000"/>
          <w:kern w:val="2"/>
          <w:sz w:val="32"/>
          <w:szCs w:val="32"/>
          <w:lang w:val="en-US" w:eastAsia="zh-CN" w:bidi="ar-SA"/>
        </w:rPr>
        <w:t>20.住房保障支出（类）住房改革支出（款）住房公积金（项）：</w:t>
      </w:r>
      <w:r>
        <w:rPr>
          <w:rFonts w:hint="eastAsia" w:ascii="仿宋_GB2312" w:hAnsi="仿宋_GB2312" w:eastAsia="仿宋_GB2312" w:cs="Times New Roman"/>
          <w:color w:val="000000"/>
          <w:kern w:val="2"/>
          <w:sz w:val="32"/>
          <w:szCs w:val="32"/>
          <w:lang w:val="en-US" w:eastAsia="zh-CN" w:bidi="ar-SA"/>
        </w:rPr>
        <w:t>支出决算为218.32万元，完成预算100%。</w:t>
      </w:r>
    </w:p>
    <w:p>
      <w:pPr>
        <w:keepNext w:val="0"/>
        <w:keepLines w:val="0"/>
        <w:pageBreakBefore w:val="0"/>
        <w:widowControl w:val="0"/>
        <w:tabs>
          <w:tab w:val="right" w:pos="8306"/>
        </w:tabs>
        <w:kinsoku/>
        <w:wordWrap/>
        <w:overflowPunct/>
        <w:topLinePunct w:val="0"/>
        <w:autoSpaceDE/>
        <w:autoSpaceDN/>
        <w:bidi w:val="0"/>
        <w:adjustRightInd/>
        <w:snapToGrid/>
        <w:spacing w:line="576" w:lineRule="exact"/>
        <w:ind w:firstLine="640"/>
        <w:textAlignment w:val="auto"/>
        <w:outlineLvl w:val="1"/>
        <w:rPr>
          <w:rStyle w:val="31"/>
        </w:rPr>
      </w:pPr>
      <w:bookmarkStart w:id="45" w:name="_Toc15377214"/>
      <w:bookmarkStart w:id="46" w:name="_Toc16429"/>
      <w:bookmarkStart w:id="47"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1"/>
          <w:rFonts w:hint="eastAsia" w:ascii="黑体" w:hAnsi="黑体" w:eastAsia="黑体"/>
          <w:b w:val="0"/>
        </w:rPr>
        <w:t>般公共预算财政拨款基本支出决算情况说明</w:t>
      </w:r>
      <w:bookmarkEnd w:id="45"/>
      <w:bookmarkEnd w:id="46"/>
      <w:bookmarkEnd w:id="47"/>
      <w:r>
        <w:rPr>
          <w:rStyle w:val="31"/>
          <w:rFonts w:ascii="黑体" w:hAnsi="黑体" w:eastAsia="黑体"/>
          <w:b w:val="0"/>
        </w:rPr>
        <w:tab/>
      </w: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年度一般公共预算财政拨款基本支出</w:t>
      </w:r>
      <w:r>
        <w:rPr>
          <w:rFonts w:hint="eastAsia" w:ascii="仿宋" w:hAnsi="仿宋" w:eastAsia="仿宋"/>
          <w:sz w:val="32"/>
          <w:szCs w:val="32"/>
          <w:lang w:val="en-US" w:eastAsia="zh-CN"/>
        </w:rPr>
        <w:t>3,167.18</w:t>
      </w:r>
      <w:r>
        <w:rPr>
          <w:rFonts w:hint="eastAsia" w:ascii="仿宋" w:hAnsi="仿宋" w:eastAsia="仿宋"/>
          <w:sz w:val="32"/>
          <w:szCs w:val="32"/>
        </w:rPr>
        <w:t>万元，其中：</w:t>
      </w: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2,882.32</w:t>
      </w:r>
      <w:r>
        <w:rPr>
          <w:rFonts w:hint="eastAsia" w:ascii="仿宋" w:hAnsi="仿宋" w:eastAsia="仿宋"/>
          <w:sz w:val="32"/>
          <w:szCs w:val="32"/>
        </w:rPr>
        <w:t>万元，主要包括：基本工资、津贴补贴、奖金、绩效工资、机关事业单位基本养老保险缴费、职工基本医疗保险缴费、其他社会保障缴费、住房公积金、其他工资福利支出、生活补助、奖励金、其他对个人和家庭的补助。</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284.86</w:t>
      </w:r>
      <w:r>
        <w:rPr>
          <w:rFonts w:hint="eastAsia" w:ascii="仿宋" w:hAnsi="仿宋" w:eastAsia="仿宋"/>
          <w:sz w:val="32"/>
          <w:szCs w:val="32"/>
        </w:rPr>
        <w:t>万元，主要包括：办公费、印刷费、咨询费、手续费、水费、电费、邮电费、物业管理费、差旅费、维修（护）费、租赁费、培训费、公务接待费、劳务费、委托业务费</w:t>
      </w:r>
      <w:r>
        <w:rPr>
          <w:rFonts w:hint="eastAsia" w:ascii="仿宋" w:hAnsi="仿宋" w:eastAsia="仿宋"/>
          <w:sz w:val="32"/>
          <w:szCs w:val="32"/>
          <w:lang w:eastAsia="zh-CN"/>
        </w:rPr>
        <w:t>、</w:t>
      </w:r>
      <w:r>
        <w:rPr>
          <w:rFonts w:hint="eastAsia" w:ascii="仿宋" w:hAnsi="仿宋" w:eastAsia="仿宋"/>
          <w:sz w:val="32"/>
          <w:szCs w:val="32"/>
        </w:rPr>
        <w:t>工会经费、福利费、公务用车运行维护费、其他交通费</w:t>
      </w:r>
      <w:r>
        <w:rPr>
          <w:rFonts w:hint="eastAsia" w:ascii="仿宋" w:hAnsi="仿宋" w:eastAsia="仿宋"/>
          <w:sz w:val="32"/>
          <w:szCs w:val="32"/>
          <w:lang w:val="en-US" w:eastAsia="zh-CN"/>
        </w:rPr>
        <w:t>用</w:t>
      </w:r>
      <w:r>
        <w:rPr>
          <w:rFonts w:hint="eastAsia" w:ascii="仿宋" w:hAnsi="仿宋" w:eastAsia="仿宋"/>
          <w:sz w:val="32"/>
          <w:szCs w:val="32"/>
        </w:rPr>
        <w:t>、其他商品和服务支出。</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1"/>
        <w:rPr>
          <w:rStyle w:val="31"/>
          <w:rFonts w:ascii="黑体" w:hAnsi="黑体" w:eastAsia="黑体"/>
          <w:b w:val="0"/>
        </w:rPr>
      </w:pPr>
      <w:bookmarkStart w:id="48" w:name="_Toc15396609"/>
      <w:bookmarkStart w:id="49" w:name="_Toc17944"/>
      <w:bookmarkStart w:id="50" w:name="_Toc15377215"/>
      <w:r>
        <w:rPr>
          <w:rFonts w:hint="eastAsia" w:ascii="黑体" w:eastAsia="黑体"/>
          <w:sz w:val="32"/>
          <w:szCs w:val="32"/>
        </w:rPr>
        <w:t>七、</w:t>
      </w:r>
      <w:r>
        <w:rPr>
          <w:rStyle w:val="31"/>
          <w:rFonts w:hint="eastAsia" w:ascii="黑体" w:hAnsi="黑体" w:eastAsia="黑体"/>
          <w:b w:val="0"/>
        </w:rPr>
        <w:t>财政拨款</w:t>
      </w:r>
      <w:r>
        <w:rPr>
          <w:rStyle w:val="31"/>
          <w:rFonts w:hint="eastAsia" w:ascii="黑体" w:hAnsi="黑体" w:eastAsia="黑体"/>
        </w:rPr>
        <w:t>“</w:t>
      </w:r>
      <w:r>
        <w:rPr>
          <w:rStyle w:val="31"/>
          <w:rFonts w:hint="eastAsia" w:ascii="黑体" w:hAnsi="黑体" w:eastAsia="黑体"/>
          <w:b w:val="0"/>
        </w:rPr>
        <w:t>三公”经费支出决算情况说明</w:t>
      </w:r>
      <w:bookmarkEnd w:id="48"/>
      <w:bookmarkEnd w:id="49"/>
      <w:bookmarkEnd w:id="50"/>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ascii="仿宋" w:hAnsi="仿宋" w:eastAsia="仿宋"/>
          <w:b/>
          <w:sz w:val="32"/>
          <w:szCs w:val="32"/>
        </w:rPr>
      </w:pPr>
      <w:bookmarkStart w:id="51" w:name="_Toc15377216"/>
      <w:r>
        <w:rPr>
          <w:rFonts w:hint="eastAsia" w:ascii="仿宋" w:hAnsi="仿宋" w:eastAsia="仿宋"/>
          <w:b/>
          <w:sz w:val="32"/>
          <w:szCs w:val="32"/>
        </w:rPr>
        <w:t>（一）“三公”经费财政拨款支出决算总体情况说明</w:t>
      </w:r>
      <w:bookmarkEnd w:id="51"/>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 w:hAnsi="仿宋" w:eastAsia="仿宋"/>
          <w:sz w:val="32"/>
          <w:szCs w:val="32"/>
          <w:lang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年度“三公”经费财政拨款支出决算为</w:t>
      </w:r>
      <w:r>
        <w:rPr>
          <w:rFonts w:hint="eastAsia" w:ascii="仿宋" w:hAnsi="仿宋" w:eastAsia="仿宋"/>
          <w:sz w:val="32"/>
          <w:szCs w:val="32"/>
          <w:lang w:val="en-US" w:eastAsia="zh-CN"/>
        </w:rPr>
        <w:t>18.83</w:t>
      </w:r>
      <w:r>
        <w:rPr>
          <w:rFonts w:hint="eastAsia" w:ascii="仿宋" w:hAnsi="仿宋" w:eastAsia="仿宋"/>
          <w:sz w:val="32"/>
          <w:szCs w:val="32"/>
        </w:rPr>
        <w:t>万元，完成预算</w:t>
      </w:r>
      <w:r>
        <w:rPr>
          <w:rFonts w:hint="eastAsia" w:ascii="仿宋" w:hAnsi="仿宋" w:eastAsia="仿宋"/>
          <w:sz w:val="32"/>
          <w:szCs w:val="32"/>
          <w:lang w:val="en-US" w:eastAsia="zh-CN"/>
        </w:rPr>
        <w:t>88.53</w:t>
      </w:r>
      <w:r>
        <w:rPr>
          <w:rFonts w:ascii="仿宋" w:hAnsi="仿宋" w:eastAsia="仿宋"/>
          <w:sz w:val="32"/>
          <w:szCs w:val="32"/>
        </w:rPr>
        <w:t>%</w:t>
      </w:r>
      <w:r>
        <w:rPr>
          <w:rFonts w:hint="eastAsia" w:ascii="仿宋" w:hAnsi="仿宋" w:eastAsia="仿宋"/>
          <w:sz w:val="32"/>
          <w:szCs w:val="32"/>
        </w:rPr>
        <w:t>，较上年度</w:t>
      </w:r>
      <w:r>
        <w:rPr>
          <w:rFonts w:hint="eastAsia" w:ascii="仿宋" w:hAnsi="仿宋" w:eastAsia="仿宋"/>
          <w:sz w:val="32"/>
          <w:szCs w:val="32"/>
          <w:lang w:eastAsia="zh-CN"/>
        </w:rPr>
        <w:t>减少</w:t>
      </w:r>
      <w:r>
        <w:rPr>
          <w:rFonts w:hint="eastAsia" w:ascii="仿宋" w:hAnsi="仿宋" w:eastAsia="仿宋"/>
          <w:sz w:val="32"/>
          <w:szCs w:val="32"/>
          <w:lang w:val="en-US" w:eastAsia="zh-CN"/>
        </w:rPr>
        <w:t>2.66</w:t>
      </w:r>
      <w:r>
        <w:rPr>
          <w:rFonts w:hint="eastAsia" w:ascii="仿宋" w:hAnsi="仿宋" w:eastAsia="仿宋"/>
          <w:sz w:val="32"/>
          <w:szCs w:val="32"/>
        </w:rPr>
        <w:t>万元，</w:t>
      </w:r>
      <w:r>
        <w:rPr>
          <w:rFonts w:hint="eastAsia" w:ascii="仿宋" w:hAnsi="仿宋" w:eastAsia="仿宋"/>
          <w:sz w:val="32"/>
          <w:szCs w:val="32"/>
          <w:lang w:eastAsia="zh-CN"/>
        </w:rPr>
        <w:t>下降</w:t>
      </w:r>
      <w:r>
        <w:rPr>
          <w:rFonts w:hint="eastAsia" w:ascii="仿宋" w:hAnsi="仿宋" w:eastAsia="仿宋"/>
          <w:sz w:val="32"/>
          <w:szCs w:val="32"/>
          <w:lang w:val="en-US" w:eastAsia="zh-CN"/>
        </w:rPr>
        <w:t>12.4</w:t>
      </w:r>
      <w:r>
        <w:rPr>
          <w:rFonts w:hint="eastAsia" w:ascii="仿宋" w:hAnsi="仿宋" w:eastAsia="仿宋"/>
          <w:sz w:val="32"/>
          <w:szCs w:val="32"/>
        </w:rPr>
        <w:t>%。决算数</w:t>
      </w:r>
      <w:r>
        <w:rPr>
          <w:rFonts w:hint="eastAsia" w:ascii="仿宋" w:hAnsi="仿宋" w:eastAsia="仿宋"/>
          <w:sz w:val="32"/>
          <w:szCs w:val="32"/>
          <w:lang w:eastAsia="zh-CN"/>
        </w:rPr>
        <w:t>小于</w:t>
      </w:r>
      <w:r>
        <w:rPr>
          <w:rFonts w:hint="eastAsia" w:ascii="仿宋" w:hAnsi="仿宋" w:eastAsia="仿宋"/>
          <w:sz w:val="32"/>
          <w:szCs w:val="32"/>
        </w:rPr>
        <w:t>预算数主要原因是</w:t>
      </w:r>
      <w:r>
        <w:rPr>
          <w:rFonts w:hint="eastAsia" w:ascii="仿宋" w:hAnsi="仿宋" w:eastAsia="仿宋"/>
          <w:sz w:val="32"/>
          <w:szCs w:val="32"/>
          <w:lang w:eastAsia="zh-CN"/>
        </w:rPr>
        <w:t>“厉行节约，过紧日子”减少了接待费用。</w:t>
      </w:r>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ascii="仿宋" w:hAnsi="仿宋" w:eastAsia="仿宋"/>
          <w:b/>
          <w:sz w:val="32"/>
          <w:szCs w:val="32"/>
        </w:rPr>
      </w:pPr>
      <w:bookmarkStart w:id="52" w:name="_Toc15377217"/>
      <w:r>
        <w:rPr>
          <w:rFonts w:hint="eastAsia" w:ascii="仿宋" w:hAnsi="仿宋" w:eastAsia="仿宋"/>
          <w:b/>
          <w:sz w:val="32"/>
          <w:szCs w:val="32"/>
        </w:rPr>
        <w:t>（二）“三公”经费财政拨款支出决算具体情况说明</w:t>
      </w:r>
      <w:bookmarkEnd w:id="52"/>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年度“三公”经费财政拨款支出决算中，因公出国（境）费支出决算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；公务用车购置及运行维护费支出决算</w:t>
      </w:r>
      <w:r>
        <w:rPr>
          <w:rFonts w:ascii="仿宋" w:hAnsi="仿宋" w:eastAsia="仿宋"/>
          <w:sz w:val="32"/>
          <w:szCs w:val="32"/>
        </w:rPr>
        <w:t>14.</w:t>
      </w:r>
      <w:r>
        <w:rPr>
          <w:rFonts w:hint="eastAsia" w:ascii="仿宋" w:hAnsi="仿宋" w:eastAsia="仿宋"/>
          <w:sz w:val="32"/>
          <w:szCs w:val="32"/>
          <w:lang w:val="en-US" w:eastAsia="zh-CN"/>
        </w:rPr>
        <w:t>32</w:t>
      </w:r>
      <w:r>
        <w:rPr>
          <w:rFonts w:hint="eastAsia" w:ascii="仿宋" w:hAnsi="仿宋" w:eastAsia="仿宋"/>
          <w:sz w:val="32"/>
          <w:szCs w:val="32"/>
        </w:rPr>
        <w:t>万元，</w:t>
      </w:r>
      <w:r>
        <w:rPr>
          <w:rFonts w:hint="eastAsia" w:ascii="仿宋" w:hAnsi="仿宋" w:eastAsia="仿宋"/>
          <w:color w:val="auto"/>
          <w:sz w:val="32"/>
          <w:szCs w:val="32"/>
        </w:rPr>
        <w:t>占</w:t>
      </w:r>
      <w:r>
        <w:rPr>
          <w:rFonts w:hint="eastAsia" w:ascii="仿宋" w:hAnsi="仿宋" w:eastAsia="仿宋"/>
          <w:color w:val="auto"/>
          <w:sz w:val="32"/>
          <w:szCs w:val="32"/>
          <w:lang w:val="en-US" w:eastAsia="zh-CN"/>
        </w:rPr>
        <w:t>76</w:t>
      </w:r>
      <w:r>
        <w:rPr>
          <w:rFonts w:ascii="仿宋" w:hAnsi="仿宋" w:eastAsia="仿宋"/>
          <w:color w:val="auto"/>
          <w:sz w:val="32"/>
          <w:szCs w:val="32"/>
        </w:rPr>
        <w:t>%</w:t>
      </w:r>
      <w:r>
        <w:rPr>
          <w:rFonts w:hint="eastAsia" w:ascii="仿宋" w:hAnsi="仿宋" w:eastAsia="仿宋"/>
          <w:color w:val="auto"/>
          <w:sz w:val="32"/>
          <w:szCs w:val="32"/>
        </w:rPr>
        <w:t>；公务接待费支出决算</w:t>
      </w:r>
      <w:r>
        <w:rPr>
          <w:rFonts w:hint="eastAsia" w:ascii="仿宋" w:hAnsi="仿宋" w:eastAsia="仿宋"/>
          <w:color w:val="auto"/>
          <w:sz w:val="32"/>
          <w:szCs w:val="32"/>
          <w:lang w:val="en-US" w:eastAsia="zh-CN"/>
        </w:rPr>
        <w:t>4.51</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24</w:t>
      </w:r>
      <w:r>
        <w:rPr>
          <w:rFonts w:ascii="仿宋" w:hAnsi="仿宋" w:eastAsia="仿宋"/>
          <w:color w:val="auto"/>
          <w:sz w:val="32"/>
          <w:szCs w:val="32"/>
        </w:rPr>
        <w:t>%</w:t>
      </w:r>
      <w:r>
        <w:rPr>
          <w:rFonts w:hint="eastAsia" w:ascii="仿宋" w:hAnsi="仿宋" w:eastAsia="仿宋"/>
          <w:color w:val="auto"/>
          <w:sz w:val="32"/>
          <w:szCs w:val="32"/>
        </w:rPr>
        <w:t>。具体情况如下</w:t>
      </w:r>
      <w:r>
        <w:rPr>
          <w:rFonts w:hint="eastAsia" w:ascii="仿宋" w:hAnsi="仿宋" w:eastAsia="仿宋"/>
          <w:sz w:val="32"/>
          <w:szCs w:val="32"/>
        </w:rPr>
        <w:t>：</w:t>
      </w:r>
    </w:p>
    <w:p>
      <w:pPr>
        <w:pStyle w:val="33"/>
        <w:outlineLvl w:val="9"/>
        <w:rPr>
          <w:rFonts w:hint="eastAsia" w:eastAsia="黑体"/>
          <w:lang w:eastAsia="zh-CN"/>
        </w:rPr>
      </w:pPr>
      <w:r>
        <w:drawing>
          <wp:inline distT="0" distB="0" distL="114300" distR="114300">
            <wp:extent cx="5487035" cy="2755265"/>
            <wp:effectExtent l="0" t="0" r="18415" b="6985"/>
            <wp:docPr id="10" name="图片 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true"/>
                    </pic:cNvPicPr>
                  </pic:nvPicPr>
                  <pic:blipFill>
                    <a:blip r:embed="rId14"/>
                    <a:stretch>
                      <a:fillRect/>
                    </a:stretch>
                  </pic:blipFill>
                  <pic:spPr>
                    <a:xfrm>
                      <a:off x="0" y="0"/>
                      <a:ext cx="5487035" cy="2755265"/>
                    </a:xfrm>
                    <a:prstGeom prst="rect">
                      <a:avLst/>
                    </a:prstGeom>
                    <a:noFill/>
                    <a:ln>
                      <a:noFill/>
                    </a:ln>
                  </pic:spPr>
                </pic:pic>
              </a:graphicData>
            </a:graphic>
          </wp:inline>
        </w:drawing>
      </w:r>
    </w:p>
    <w:p>
      <w:pPr>
        <w:keepNext w:val="0"/>
        <w:keepLines w:val="0"/>
        <w:pageBreakBefore w:val="0"/>
        <w:widowControl w:val="0"/>
        <w:kinsoku/>
        <w:wordWrap/>
        <w:overflowPunct/>
        <w:topLinePunct w:val="0"/>
        <w:bidi w:val="0"/>
        <w:snapToGrid/>
        <w:spacing w:line="576" w:lineRule="exact"/>
        <w:ind w:firstLine="640"/>
        <w:textAlignment w:val="auto"/>
        <w:rPr>
          <w:rFonts w:ascii="仿宋" w:hAnsi="仿宋" w:eastAsia="仿宋"/>
          <w:sz w:val="32"/>
          <w:szCs w:val="32"/>
        </w:rPr>
      </w:pPr>
      <w:r>
        <w:rPr>
          <w:rFonts w:hint="eastAsia" w:ascii="仿宋" w:hAnsi="仿宋" w:eastAsia="仿宋"/>
          <w:sz w:val="32"/>
          <w:szCs w:val="32"/>
        </w:rPr>
        <w:t>（图7：“三公”经费财政拨款支出结构）</w:t>
      </w:r>
    </w:p>
    <w:p>
      <w:pPr>
        <w:keepNext w:val="0"/>
        <w:keepLines w:val="0"/>
        <w:pageBreakBefore w:val="0"/>
        <w:widowControl w:val="0"/>
        <w:kinsoku/>
        <w:wordWrap/>
        <w:overflowPunct/>
        <w:topLinePunct w:val="0"/>
        <w:bidi w:val="0"/>
        <w:snapToGrid/>
        <w:spacing w:line="576" w:lineRule="exact"/>
        <w:ind w:firstLine="640"/>
        <w:textAlignment w:val="auto"/>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sz w:val="32"/>
          <w:szCs w:val="32"/>
        </w:rPr>
        <w:t>0</w:t>
      </w:r>
      <w:r>
        <w:rPr>
          <w:rFonts w:hint="eastAsia" w:ascii="仿宋_GB2312" w:eastAsia="仿宋_GB2312"/>
          <w:sz w:val="32"/>
          <w:szCs w:val="32"/>
        </w:rPr>
        <w:t>万元，年初未安排预算</w:t>
      </w:r>
      <w:r>
        <w:rPr>
          <w:rFonts w:hint="eastAsia" w:ascii="仿宋_GB2312" w:eastAsia="仿宋_GB2312"/>
          <w:sz w:val="32"/>
          <w:szCs w:val="32"/>
          <w:lang w:eastAsia="zh-CN"/>
        </w:rPr>
        <w:t>，较上年无变化</w:t>
      </w:r>
      <w:r>
        <w:rPr>
          <w:rStyle w:val="25"/>
          <w:rFonts w:hint="eastAsia" w:ascii="仿宋" w:hAnsi="仿宋" w:eastAsia="仿宋"/>
          <w:b w:val="0"/>
          <w:bCs/>
          <w:sz w:val="32"/>
          <w:szCs w:val="32"/>
        </w:rPr>
        <w:t>。</w:t>
      </w:r>
    </w:p>
    <w:p>
      <w:pPr>
        <w:keepNext w:val="0"/>
        <w:keepLines w:val="0"/>
        <w:pageBreakBefore w:val="0"/>
        <w:widowControl w:val="0"/>
        <w:kinsoku/>
        <w:wordWrap/>
        <w:overflowPunct/>
        <w:topLinePunct w:val="0"/>
        <w:bidi w:val="0"/>
        <w:snapToGrid/>
        <w:spacing w:line="576" w:lineRule="exact"/>
        <w:ind w:firstLine="640"/>
        <w:textAlignment w:val="auto"/>
        <w:rPr>
          <w:rFonts w:hint="eastAsia" w:ascii="仿宋" w:hAnsi="仿宋" w:eastAsia="仿宋"/>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 w:hAnsi="仿宋" w:eastAsia="仿宋"/>
          <w:sz w:val="32"/>
          <w:szCs w:val="32"/>
          <w:lang w:val="en-US" w:eastAsia="zh-CN"/>
        </w:rPr>
        <w:t>14.32</w:t>
      </w:r>
      <w:r>
        <w:rPr>
          <w:rFonts w:hint="eastAsia" w:ascii="仿宋" w:hAnsi="仿宋" w:eastAsia="仿宋"/>
          <w:sz w:val="32"/>
          <w:szCs w:val="32"/>
        </w:rPr>
        <w:t>万元</w:t>
      </w:r>
      <w:r>
        <w:rPr>
          <w:rFonts w:hint="eastAsia" w:ascii="仿宋" w:hAnsi="仿宋" w:eastAsia="仿宋"/>
          <w:sz w:val="32"/>
          <w:szCs w:val="32"/>
          <w:lang w:eastAsia="zh-CN"/>
        </w:rPr>
        <w:t>，</w:t>
      </w:r>
      <w:r>
        <w:rPr>
          <w:rStyle w:val="25"/>
          <w:rFonts w:hint="eastAsia" w:ascii="仿宋" w:hAnsi="仿宋" w:eastAsia="仿宋"/>
          <w:b w:val="0"/>
          <w:bCs/>
          <w:sz w:val="32"/>
          <w:szCs w:val="32"/>
        </w:rPr>
        <w:t>完成预算</w:t>
      </w:r>
      <w:r>
        <w:rPr>
          <w:rFonts w:hint="eastAsia" w:ascii="仿宋" w:hAnsi="仿宋" w:eastAsia="仿宋"/>
          <w:sz w:val="32"/>
          <w:szCs w:val="32"/>
          <w:lang w:val="en-US" w:eastAsia="zh-CN"/>
        </w:rPr>
        <w:t>97.2</w:t>
      </w:r>
      <w:r>
        <w:rPr>
          <w:rStyle w:val="25"/>
          <w:rFonts w:ascii="仿宋" w:hAnsi="仿宋" w:eastAsia="仿宋"/>
          <w:b w:val="0"/>
          <w:bCs/>
          <w:sz w:val="32"/>
          <w:szCs w:val="32"/>
        </w:rPr>
        <w:t>%</w:t>
      </w:r>
      <w:r>
        <w:rPr>
          <w:rStyle w:val="25"/>
          <w:rFonts w:hint="eastAsia" w:ascii="仿宋" w:hAnsi="仿宋" w:eastAsia="仿宋"/>
          <w:b w:val="0"/>
          <w:bCs/>
          <w:sz w:val="32"/>
          <w:szCs w:val="32"/>
        </w:rPr>
        <w:t>。</w:t>
      </w:r>
      <w:r>
        <w:rPr>
          <w:rFonts w:hint="eastAsia" w:ascii="仿宋" w:hAnsi="仿宋" w:eastAsia="仿宋"/>
          <w:sz w:val="32"/>
          <w:szCs w:val="32"/>
        </w:rPr>
        <w:t>公务用车购置及运行维护费支出决算比202</w:t>
      </w:r>
      <w:r>
        <w:rPr>
          <w:rFonts w:hint="eastAsia" w:ascii="仿宋" w:hAnsi="仿宋" w:eastAsia="仿宋"/>
          <w:sz w:val="32"/>
          <w:szCs w:val="32"/>
          <w:lang w:val="en-US" w:eastAsia="zh-CN"/>
        </w:rPr>
        <w:t>3</w:t>
      </w:r>
      <w:r>
        <w:rPr>
          <w:rFonts w:hint="eastAsia" w:ascii="仿宋" w:hAnsi="仿宋" w:eastAsia="仿宋"/>
          <w:sz w:val="32"/>
          <w:szCs w:val="32"/>
        </w:rPr>
        <w:t>年度减少</w:t>
      </w:r>
      <w:r>
        <w:rPr>
          <w:rFonts w:hint="eastAsia" w:ascii="仿宋" w:hAnsi="仿宋" w:eastAsia="仿宋"/>
          <w:sz w:val="32"/>
          <w:szCs w:val="32"/>
          <w:lang w:val="en-US" w:eastAsia="zh-CN"/>
        </w:rPr>
        <w:t>0.1</w:t>
      </w:r>
      <w:r>
        <w:rPr>
          <w:rFonts w:hint="eastAsia" w:ascii="仿宋" w:hAnsi="仿宋" w:eastAsia="仿宋"/>
          <w:sz w:val="32"/>
          <w:szCs w:val="32"/>
        </w:rPr>
        <w:t>万元，下降</w:t>
      </w:r>
      <w:r>
        <w:rPr>
          <w:rFonts w:hint="eastAsia" w:ascii="仿宋" w:hAnsi="仿宋" w:eastAsia="仿宋"/>
          <w:sz w:val="32"/>
          <w:szCs w:val="32"/>
          <w:lang w:val="en-US" w:eastAsia="zh-CN"/>
        </w:rPr>
        <w:t>0.7</w:t>
      </w:r>
      <w:r>
        <w:rPr>
          <w:rFonts w:ascii="仿宋" w:hAnsi="仿宋" w:eastAsia="仿宋"/>
          <w:sz w:val="32"/>
          <w:szCs w:val="32"/>
        </w:rPr>
        <w:t>%</w:t>
      </w:r>
      <w:r>
        <w:rPr>
          <w:rFonts w:hint="eastAsia" w:ascii="仿宋" w:hAnsi="仿宋" w:eastAsia="仿宋"/>
          <w:sz w:val="32"/>
          <w:szCs w:val="32"/>
        </w:rPr>
        <w:t>。主要原因是单位厉行节约，减少支出。</w:t>
      </w:r>
    </w:p>
    <w:p>
      <w:pPr>
        <w:pStyle w:val="2"/>
        <w:keepNext w:val="0"/>
        <w:keepLines w:val="0"/>
        <w:pageBreakBefore w:val="0"/>
        <w:widowControl w:val="0"/>
        <w:kinsoku/>
        <w:wordWrap/>
        <w:overflowPunct/>
        <w:topLinePunct w:val="0"/>
        <w:bidi w:val="0"/>
        <w:snapToGrid/>
        <w:spacing w:line="576" w:lineRule="exact"/>
        <w:ind w:firstLine="640" w:firstLineChars="200"/>
        <w:textAlignment w:val="auto"/>
        <w:rPr>
          <w:rFonts w:hint="eastAsia"/>
          <w:sz w:val="32"/>
          <w:szCs w:val="32"/>
        </w:rPr>
      </w:pPr>
      <w:r>
        <w:rPr>
          <w:rFonts w:hint="eastAsia"/>
          <w:sz w:val="32"/>
          <w:szCs w:val="32"/>
        </w:rPr>
        <w:t>其中：公务用车购置支出0万元。本年未购置公务用车。</w:t>
      </w:r>
    </w:p>
    <w:p>
      <w:pPr>
        <w:keepNext w:val="0"/>
        <w:keepLines w:val="0"/>
        <w:pageBreakBefore w:val="0"/>
        <w:widowControl w:val="0"/>
        <w:kinsoku/>
        <w:wordWrap/>
        <w:overflowPunct/>
        <w:topLinePunct w:val="0"/>
        <w:bidi w:val="0"/>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截至</w:t>
      </w:r>
      <w:r>
        <w:rPr>
          <w:rFonts w:hint="eastAsia" w:ascii="仿宋_GB2312" w:hAnsi="仿宋_GB2312" w:eastAsia="仿宋_GB2312" w:cs="仿宋_GB2312"/>
          <w:sz w:val="32"/>
          <w:szCs w:val="32"/>
        </w:rPr>
        <w:t>2024年12月31日，单位共有公务用车10 辆，其中：轿车2辆、越野车3辆、载客汽车5辆。（注：不涉及的车辆类型请删除）</w:t>
      </w:r>
    </w:p>
    <w:p>
      <w:pPr>
        <w:keepNext w:val="0"/>
        <w:keepLines w:val="0"/>
        <w:pageBreakBefore w:val="0"/>
        <w:widowControl w:val="0"/>
        <w:kinsoku/>
        <w:wordWrap/>
        <w:overflowPunct/>
        <w:topLinePunct w:val="0"/>
        <w:bidi w:val="0"/>
        <w:snapToGrid/>
        <w:spacing w:line="576" w:lineRule="exact"/>
        <w:ind w:firstLine="640"/>
        <w:textAlignment w:val="auto"/>
        <w:rPr>
          <w:rFonts w:ascii="仿宋_GB2312" w:eastAsia="仿宋_GB2312"/>
          <w:sz w:val="32"/>
          <w:szCs w:val="32"/>
        </w:rPr>
      </w:pPr>
      <w:r>
        <w:rPr>
          <w:rFonts w:hint="eastAsia" w:ascii="仿宋_GB2312" w:eastAsia="仿宋_GB2312"/>
          <w:b/>
          <w:sz w:val="32"/>
          <w:szCs w:val="32"/>
        </w:rPr>
        <w:t>公务用车运行维护费支出</w:t>
      </w:r>
      <w:r>
        <w:rPr>
          <w:rFonts w:hint="eastAsia" w:ascii="仿宋" w:hAnsi="仿宋" w:eastAsia="仿宋"/>
          <w:sz w:val="32"/>
          <w:szCs w:val="32"/>
          <w:lang w:val="en-US" w:eastAsia="zh-CN"/>
        </w:rPr>
        <w:t>14.32</w:t>
      </w:r>
      <w:r>
        <w:rPr>
          <w:rFonts w:hint="eastAsia" w:ascii="仿宋" w:hAnsi="仿宋" w:eastAsia="仿宋"/>
          <w:sz w:val="32"/>
          <w:szCs w:val="32"/>
        </w:rPr>
        <w:t>万元</w:t>
      </w:r>
      <w:r>
        <w:rPr>
          <w:rFonts w:hint="eastAsia" w:ascii="仿宋_GB2312" w:eastAsia="仿宋_GB2312"/>
          <w:sz w:val="32"/>
          <w:szCs w:val="32"/>
        </w:rPr>
        <w:t>。主要用于民政系统一般公务用车、流浪乞讨人员的救助、服务对象生活保障用车、低保走访、区划地名勘测、殡葬政策宣传执法、乡镇区划行政调整等所需的公务用车燃料费、租车费、维修费、过路过桥费、保险费支出。</w:t>
      </w:r>
    </w:p>
    <w:p>
      <w:pPr>
        <w:keepNext w:val="0"/>
        <w:keepLines w:val="0"/>
        <w:pageBreakBefore w:val="0"/>
        <w:widowControl w:val="0"/>
        <w:kinsoku/>
        <w:wordWrap/>
        <w:overflowPunct/>
        <w:topLinePunct w:val="0"/>
        <w:bidi w:val="0"/>
        <w:snapToGrid/>
        <w:spacing w:line="576" w:lineRule="exact"/>
        <w:ind w:firstLine="640"/>
        <w:textAlignment w:val="auto"/>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 w:hAnsi="仿宋" w:eastAsia="仿宋"/>
          <w:sz w:val="32"/>
          <w:szCs w:val="32"/>
          <w:lang w:val="en-US" w:eastAsia="zh-CN"/>
        </w:rPr>
        <w:t>4.51</w:t>
      </w:r>
      <w:r>
        <w:rPr>
          <w:rFonts w:hint="eastAsia" w:ascii="仿宋" w:hAnsi="仿宋" w:eastAsia="仿宋"/>
          <w:sz w:val="32"/>
          <w:szCs w:val="32"/>
        </w:rPr>
        <w:t>万元，</w:t>
      </w:r>
      <w:r>
        <w:rPr>
          <w:rStyle w:val="25"/>
          <w:rFonts w:hint="eastAsia" w:ascii="仿宋" w:hAnsi="仿宋" w:eastAsia="仿宋"/>
          <w:b w:val="0"/>
          <w:bCs/>
          <w:sz w:val="32"/>
          <w:szCs w:val="32"/>
        </w:rPr>
        <w:t>完成预算</w:t>
      </w:r>
      <w:r>
        <w:rPr>
          <w:rFonts w:hint="eastAsia" w:ascii="仿宋" w:hAnsi="仿宋" w:eastAsia="仿宋"/>
          <w:sz w:val="32"/>
          <w:szCs w:val="32"/>
          <w:lang w:val="en-US" w:eastAsia="zh-CN"/>
        </w:rPr>
        <w:t>69.1</w:t>
      </w:r>
      <w:r>
        <w:rPr>
          <w:rFonts w:ascii="仿宋" w:hAnsi="仿宋" w:eastAsia="仿宋"/>
          <w:sz w:val="32"/>
          <w:szCs w:val="32"/>
        </w:rPr>
        <w:t>%</w:t>
      </w:r>
      <w:r>
        <w:rPr>
          <w:rStyle w:val="25"/>
          <w:rFonts w:hint="eastAsia" w:ascii="仿宋" w:hAnsi="仿宋" w:eastAsia="仿宋"/>
          <w:b w:val="0"/>
          <w:bCs/>
          <w:sz w:val="32"/>
          <w:szCs w:val="32"/>
        </w:rPr>
        <w:t>。</w:t>
      </w:r>
      <w:r>
        <w:rPr>
          <w:rFonts w:hint="eastAsia" w:ascii="仿宋" w:hAnsi="仿宋" w:eastAsia="仿宋"/>
          <w:sz w:val="32"/>
          <w:szCs w:val="32"/>
        </w:rPr>
        <w:t>公务接待费支出决算比202</w:t>
      </w:r>
      <w:r>
        <w:rPr>
          <w:rFonts w:hint="eastAsia" w:ascii="仿宋" w:hAnsi="仿宋" w:eastAsia="仿宋"/>
          <w:sz w:val="32"/>
          <w:szCs w:val="32"/>
          <w:lang w:val="en-US" w:eastAsia="zh-CN"/>
        </w:rPr>
        <w:t>3</w:t>
      </w:r>
      <w:r>
        <w:rPr>
          <w:rFonts w:hint="eastAsia" w:ascii="仿宋" w:hAnsi="仿宋" w:eastAsia="仿宋"/>
          <w:sz w:val="32"/>
          <w:szCs w:val="32"/>
        </w:rPr>
        <w:t>年度</w:t>
      </w:r>
      <w:r>
        <w:rPr>
          <w:rFonts w:hint="eastAsia" w:ascii="仿宋" w:hAnsi="仿宋" w:eastAsia="仿宋"/>
          <w:sz w:val="32"/>
          <w:szCs w:val="32"/>
          <w:lang w:eastAsia="zh-CN"/>
        </w:rPr>
        <w:t>减少</w:t>
      </w:r>
      <w:r>
        <w:rPr>
          <w:rFonts w:hint="eastAsia" w:ascii="仿宋" w:hAnsi="仿宋" w:eastAsia="仿宋"/>
          <w:sz w:val="32"/>
          <w:szCs w:val="32"/>
          <w:lang w:val="en-US" w:eastAsia="zh-CN"/>
        </w:rPr>
        <w:t>2.14</w:t>
      </w:r>
      <w:r>
        <w:rPr>
          <w:rFonts w:hint="eastAsia" w:ascii="仿宋" w:hAnsi="仿宋" w:eastAsia="仿宋"/>
          <w:sz w:val="32"/>
          <w:szCs w:val="32"/>
        </w:rPr>
        <w:t>万元，</w:t>
      </w:r>
      <w:r>
        <w:rPr>
          <w:rFonts w:hint="eastAsia" w:ascii="仿宋" w:hAnsi="仿宋" w:eastAsia="仿宋"/>
          <w:sz w:val="32"/>
          <w:szCs w:val="32"/>
          <w:lang w:eastAsia="zh-CN"/>
        </w:rPr>
        <w:t>下降</w:t>
      </w:r>
      <w:r>
        <w:rPr>
          <w:rFonts w:hint="eastAsia" w:ascii="仿宋" w:hAnsi="仿宋" w:eastAsia="仿宋"/>
          <w:sz w:val="32"/>
          <w:szCs w:val="32"/>
          <w:lang w:val="en-US" w:eastAsia="zh-CN"/>
        </w:rPr>
        <w:t>32.2</w:t>
      </w:r>
      <w:r>
        <w:rPr>
          <w:rFonts w:ascii="仿宋" w:hAnsi="仿宋" w:eastAsia="仿宋"/>
          <w:sz w:val="32"/>
          <w:szCs w:val="32"/>
        </w:rPr>
        <w:t>%</w:t>
      </w:r>
      <w:r>
        <w:rPr>
          <w:rFonts w:hint="eastAsia" w:ascii="仿宋" w:hAnsi="仿宋" w:eastAsia="仿宋"/>
          <w:sz w:val="32"/>
          <w:szCs w:val="32"/>
        </w:rPr>
        <w:t>。主要原因是</w:t>
      </w:r>
      <w:r>
        <w:rPr>
          <w:rFonts w:hint="eastAsia" w:ascii="仿宋" w:hAnsi="仿宋" w:eastAsia="仿宋"/>
          <w:sz w:val="32"/>
          <w:szCs w:val="32"/>
          <w:lang w:eastAsia="zh-CN"/>
        </w:rPr>
        <w:t>“厉行节约，过紧日子”减少了接待费用。</w:t>
      </w:r>
      <w:r>
        <w:rPr>
          <w:rFonts w:hint="eastAsia" w:ascii="仿宋" w:hAnsi="仿宋" w:eastAsia="仿宋"/>
          <w:sz w:val="32"/>
          <w:szCs w:val="32"/>
        </w:rPr>
        <w:t>其中：</w:t>
      </w:r>
    </w:p>
    <w:p>
      <w:pPr>
        <w:keepNext w:val="0"/>
        <w:keepLines w:val="0"/>
        <w:pageBreakBefore w:val="0"/>
        <w:widowControl w:val="0"/>
        <w:kinsoku/>
        <w:wordWrap/>
        <w:overflowPunct/>
        <w:topLinePunct w:val="0"/>
        <w:bidi w:val="0"/>
        <w:snapToGrid/>
        <w:spacing w:line="576" w:lineRule="exact"/>
        <w:ind w:firstLine="640"/>
        <w:textAlignment w:val="auto"/>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4.51</w:t>
      </w:r>
      <w:r>
        <w:rPr>
          <w:rFonts w:hint="eastAsia" w:ascii="仿宋" w:hAnsi="仿宋" w:eastAsia="仿宋"/>
          <w:sz w:val="32"/>
          <w:szCs w:val="32"/>
        </w:rPr>
        <w:t>万</w:t>
      </w:r>
      <w:r>
        <w:rPr>
          <w:rFonts w:hint="eastAsia" w:ascii="仿宋_GB2312" w:eastAsia="仿宋_GB2312"/>
          <w:sz w:val="32"/>
          <w:szCs w:val="32"/>
        </w:rPr>
        <w:t>元，主要用于执行公务、开展业务活动开支的交通费、住宿费、用餐费等。国内公务接待</w:t>
      </w:r>
      <w:r>
        <w:rPr>
          <w:rFonts w:hint="eastAsia" w:ascii="仿宋_GB2312" w:eastAsia="仿宋_GB2312"/>
          <w:sz w:val="32"/>
          <w:szCs w:val="32"/>
          <w:lang w:val="en-US" w:eastAsia="zh-CN"/>
        </w:rPr>
        <w:t>54</w:t>
      </w:r>
      <w:r>
        <w:rPr>
          <w:rFonts w:hint="eastAsia" w:ascii="仿宋_GB2312" w:eastAsia="仿宋_GB2312"/>
          <w:sz w:val="32"/>
          <w:szCs w:val="32"/>
        </w:rPr>
        <w:t>批次，</w:t>
      </w:r>
      <w:r>
        <w:rPr>
          <w:rFonts w:hint="eastAsia" w:ascii="仿宋_GB2312" w:eastAsia="仿宋_GB2312"/>
          <w:sz w:val="32"/>
          <w:szCs w:val="32"/>
          <w:lang w:val="en-US" w:eastAsia="zh-CN"/>
        </w:rPr>
        <w:t>430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4.51</w:t>
      </w:r>
      <w:r>
        <w:rPr>
          <w:rFonts w:hint="eastAsia" w:ascii="仿宋_GB2312" w:eastAsia="仿宋_GB2312"/>
          <w:sz w:val="32"/>
          <w:szCs w:val="32"/>
        </w:rPr>
        <w:t>万元，具体内容包括民政康养项目、社区建设、捐赠及有关单位来广调研、指导、督查督办、学习交流所发生的接待支出</w:t>
      </w:r>
      <w:r>
        <w:rPr>
          <w:rFonts w:hint="eastAsia" w:ascii="仿宋_GB2312" w:eastAsia="仿宋_GB2312"/>
          <w:sz w:val="32"/>
          <w:szCs w:val="32"/>
          <w:lang w:eastAsia="zh-CN"/>
        </w:rPr>
        <w:t>共</w:t>
      </w:r>
      <w:r>
        <w:rPr>
          <w:rFonts w:hint="eastAsia" w:ascii="仿宋_GB2312" w:eastAsia="仿宋_GB2312"/>
          <w:sz w:val="32"/>
          <w:szCs w:val="32"/>
          <w:lang w:val="en-US" w:eastAsia="zh-CN"/>
        </w:rPr>
        <w:t>4.51万元</w:t>
      </w:r>
      <w:r>
        <w:rPr>
          <w:rFonts w:hint="eastAsia" w:ascii="仿宋_GB2312" w:eastAsia="仿宋_GB2312"/>
          <w:sz w:val="32"/>
          <w:szCs w:val="32"/>
        </w:rPr>
        <w:t>。</w:t>
      </w:r>
    </w:p>
    <w:p>
      <w:pPr>
        <w:keepNext w:val="0"/>
        <w:keepLines w:val="0"/>
        <w:pageBreakBefore w:val="0"/>
        <w:widowControl w:val="0"/>
        <w:kinsoku/>
        <w:wordWrap/>
        <w:overflowPunct/>
        <w:topLinePunct w:val="0"/>
        <w:bidi w:val="0"/>
        <w:snapToGrid/>
        <w:spacing w:line="576" w:lineRule="exact"/>
        <w:ind w:firstLine="642" w:firstLineChars="200"/>
        <w:textAlignment w:val="auto"/>
        <w:rPr>
          <w:rFonts w:ascii="黑体" w:eastAsia="黑体"/>
          <w:sz w:val="32"/>
          <w:szCs w:val="32"/>
        </w:rPr>
      </w:pPr>
      <w:r>
        <w:rPr>
          <w:rFonts w:hint="eastAsia" w:ascii="仿宋" w:hAnsi="仿宋" w:eastAsia="仿宋"/>
          <w:b/>
          <w:sz w:val="32"/>
          <w:szCs w:val="32"/>
        </w:rPr>
        <w:t>外事接待支出</w:t>
      </w:r>
      <w:r>
        <w:rPr>
          <w:rFonts w:ascii="仿宋" w:hAnsi="仿宋" w:eastAsia="仿宋"/>
          <w:sz w:val="32"/>
          <w:szCs w:val="32"/>
        </w:rPr>
        <w:t>0</w:t>
      </w:r>
      <w:r>
        <w:rPr>
          <w:rFonts w:hint="eastAsia" w:ascii="仿宋_GB2312" w:eastAsia="仿宋_GB2312"/>
          <w:sz w:val="32"/>
          <w:szCs w:val="32"/>
        </w:rPr>
        <w:t>万元。</w:t>
      </w:r>
      <w:bookmarkStart w:id="53" w:name="_Toc15377218"/>
      <w:bookmarkStart w:id="54" w:name="_Toc15396610"/>
    </w:p>
    <w:p>
      <w:pPr>
        <w:keepNext w:val="0"/>
        <w:keepLines w:val="0"/>
        <w:pageBreakBefore w:val="0"/>
        <w:widowControl w:val="0"/>
        <w:kinsoku/>
        <w:wordWrap/>
        <w:overflowPunct/>
        <w:topLinePunct w:val="0"/>
        <w:bidi w:val="0"/>
        <w:snapToGrid/>
        <w:spacing w:line="576" w:lineRule="exact"/>
        <w:ind w:firstLine="640"/>
        <w:textAlignment w:val="auto"/>
        <w:outlineLvl w:val="1"/>
        <w:rPr>
          <w:rStyle w:val="31"/>
          <w:rFonts w:ascii="黑体" w:hAnsi="黑体" w:eastAsia="黑体"/>
        </w:rPr>
      </w:pPr>
      <w:bookmarkStart w:id="55" w:name="_Toc9065"/>
      <w:r>
        <w:rPr>
          <w:rFonts w:hint="eastAsia" w:ascii="黑体" w:eastAsia="黑体"/>
          <w:sz w:val="32"/>
          <w:szCs w:val="32"/>
        </w:rPr>
        <w:t>八、</w:t>
      </w:r>
      <w:r>
        <w:rPr>
          <w:rStyle w:val="31"/>
          <w:rFonts w:hint="eastAsia" w:ascii="黑体" w:hAnsi="黑体" w:eastAsia="黑体"/>
          <w:b w:val="0"/>
        </w:rPr>
        <w:t>政府性基金预算支出决算情况说明</w:t>
      </w:r>
      <w:bookmarkEnd w:id="53"/>
      <w:bookmarkEnd w:id="54"/>
      <w:bookmarkEnd w:id="55"/>
    </w:p>
    <w:p>
      <w:pPr>
        <w:keepNext w:val="0"/>
        <w:keepLines w:val="0"/>
        <w:pageBreakBefore w:val="0"/>
        <w:widowControl w:val="0"/>
        <w:kinsoku/>
        <w:wordWrap/>
        <w:overflowPunct/>
        <w:topLinePunct w:val="0"/>
        <w:bidi w:val="0"/>
        <w:snapToGrid/>
        <w:spacing w:line="576" w:lineRule="exact"/>
        <w:ind w:firstLine="640"/>
        <w:textAlignment w:val="auto"/>
        <w:rPr>
          <w:rFonts w:ascii="仿宋_GB2312" w:eastAsia="仿宋_GB2312"/>
          <w:color w:val="auto"/>
          <w:sz w:val="32"/>
          <w:szCs w:val="32"/>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563.93</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46.47</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。与2023年度相比，政府性基金预算财政拨款支出增加4</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031.54万元，下降757.3%。主要变动原因是社会福利院的两个新建项目，分别广元市老年养护中心（一期）建设项目2</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000万元、广元市精神康复中心（一期）建设项目2</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000万元。</w:t>
      </w:r>
    </w:p>
    <w:p>
      <w:pPr>
        <w:keepNext w:val="0"/>
        <w:keepLines w:val="0"/>
        <w:pageBreakBefore w:val="0"/>
        <w:widowControl w:val="0"/>
        <w:numPr>
          <w:ilvl w:val="0"/>
          <w:numId w:val="3"/>
        </w:numPr>
        <w:kinsoku/>
        <w:wordWrap/>
        <w:overflowPunct/>
        <w:topLinePunct w:val="0"/>
        <w:bidi w:val="0"/>
        <w:snapToGrid/>
        <w:spacing w:line="576" w:lineRule="exact"/>
        <w:ind w:firstLine="640"/>
        <w:textAlignment w:val="auto"/>
        <w:outlineLvl w:val="1"/>
        <w:rPr>
          <w:rStyle w:val="31"/>
          <w:rFonts w:ascii="黑体" w:hAnsi="黑体" w:eastAsia="黑体"/>
          <w:b w:val="0"/>
        </w:rPr>
      </w:pPr>
      <w:bookmarkStart w:id="56" w:name="_Toc32367"/>
      <w:bookmarkStart w:id="57" w:name="_Toc15396611"/>
      <w:bookmarkStart w:id="58" w:name="_Toc15377219"/>
      <w:r>
        <w:rPr>
          <w:rStyle w:val="31"/>
          <w:rFonts w:hint="eastAsia" w:ascii="黑体" w:hAnsi="黑体" w:eastAsia="黑体"/>
          <w:b w:val="0"/>
        </w:rPr>
        <w:t>国有资本经营预算支出决算情况说明</w:t>
      </w:r>
      <w:bookmarkEnd w:id="56"/>
      <w:bookmarkEnd w:id="57"/>
      <w:bookmarkEnd w:id="58"/>
    </w:p>
    <w:p>
      <w:pPr>
        <w:keepNext w:val="0"/>
        <w:keepLines w:val="0"/>
        <w:pageBreakBefore w:val="0"/>
        <w:widowControl w:val="0"/>
        <w:kinsoku/>
        <w:wordWrap/>
        <w:overflowPunct/>
        <w:topLinePunct w:val="0"/>
        <w:bidi w:val="0"/>
        <w:snapToGrid/>
        <w:spacing w:line="576" w:lineRule="exact"/>
        <w:ind w:firstLine="640"/>
        <w:textAlignment w:val="auto"/>
        <w:rPr>
          <w:rFonts w:ascii="方正小标宋简体" w:hAnsi="方正小标宋简体" w:eastAsia="方正小标宋简体" w:cs="方正小标宋简体"/>
          <w:sz w:val="44"/>
          <w:szCs w:val="44"/>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年度国有资本经营预算财政拨款支出</w:t>
      </w:r>
      <w:r>
        <w:rPr>
          <w:rFonts w:ascii="仿宋" w:hAnsi="仿宋" w:eastAsia="仿宋"/>
          <w:sz w:val="32"/>
          <w:szCs w:val="32"/>
        </w:rPr>
        <w:t>0</w:t>
      </w:r>
      <w:r>
        <w:rPr>
          <w:rFonts w:hint="eastAsia" w:ascii="仿宋_GB2312" w:eastAsia="仿宋_GB2312"/>
          <w:sz w:val="32"/>
          <w:szCs w:val="32"/>
        </w:rPr>
        <w:t>万元。</w:t>
      </w:r>
    </w:p>
    <w:p>
      <w:pPr>
        <w:keepNext w:val="0"/>
        <w:keepLines w:val="0"/>
        <w:pageBreakBefore w:val="0"/>
        <w:widowControl w:val="0"/>
        <w:numPr>
          <w:ilvl w:val="0"/>
          <w:numId w:val="3"/>
        </w:numPr>
        <w:kinsoku/>
        <w:wordWrap/>
        <w:overflowPunct/>
        <w:topLinePunct w:val="0"/>
        <w:bidi w:val="0"/>
        <w:snapToGrid/>
        <w:spacing w:line="576" w:lineRule="exact"/>
        <w:ind w:firstLine="640"/>
        <w:textAlignment w:val="auto"/>
        <w:outlineLvl w:val="1"/>
        <w:rPr>
          <w:rStyle w:val="31"/>
          <w:rFonts w:ascii="黑体" w:hAnsi="黑体" w:eastAsia="黑体"/>
          <w:b w:val="0"/>
        </w:rPr>
      </w:pPr>
      <w:bookmarkStart w:id="59" w:name="_Toc15396612"/>
      <w:bookmarkStart w:id="60" w:name="_Toc5088"/>
      <w:bookmarkStart w:id="61" w:name="_Toc15377221"/>
      <w:r>
        <w:rPr>
          <w:rStyle w:val="31"/>
          <w:rFonts w:hint="eastAsia" w:ascii="黑体" w:hAnsi="黑体" w:eastAsia="黑体"/>
          <w:b w:val="0"/>
        </w:rPr>
        <w:t>其他重要事项的情况说明</w:t>
      </w:r>
      <w:bookmarkEnd w:id="59"/>
      <w:bookmarkEnd w:id="60"/>
      <w:bookmarkEnd w:id="61"/>
    </w:p>
    <w:p>
      <w:pPr>
        <w:keepNext w:val="0"/>
        <w:keepLines w:val="0"/>
        <w:pageBreakBefore w:val="0"/>
        <w:widowControl w:val="0"/>
        <w:kinsoku/>
        <w:wordWrap/>
        <w:overflowPunct/>
        <w:topLinePunct w:val="0"/>
        <w:bidi w:val="0"/>
        <w:snapToGrid/>
        <w:spacing w:line="576" w:lineRule="exact"/>
        <w:ind w:firstLine="642" w:firstLineChars="200"/>
        <w:textAlignment w:val="auto"/>
        <w:rPr>
          <w:rFonts w:ascii="仿宋" w:hAnsi="仿宋" w:eastAsia="仿宋"/>
          <w:sz w:val="32"/>
          <w:szCs w:val="32"/>
        </w:rPr>
      </w:pPr>
      <w:bookmarkStart w:id="62" w:name="_Toc15377222"/>
      <w:r>
        <w:rPr>
          <w:rFonts w:hint="eastAsia" w:ascii="仿宋" w:hAnsi="仿宋" w:eastAsia="仿宋"/>
          <w:b/>
          <w:sz w:val="32"/>
          <w:szCs w:val="32"/>
        </w:rPr>
        <w:t>（一）机关运行经费支出情况</w:t>
      </w:r>
      <w:bookmarkEnd w:id="62"/>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 w:hAnsi="仿宋" w:eastAsia="仿宋"/>
          <w:b/>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年度，广元市民政局机关运行经费支出</w:t>
      </w:r>
      <w:r>
        <w:rPr>
          <w:rFonts w:hint="eastAsia" w:ascii="仿宋" w:hAnsi="仿宋" w:eastAsia="仿宋"/>
          <w:sz w:val="32"/>
          <w:szCs w:val="32"/>
          <w:lang w:val="en-US" w:eastAsia="zh-CN"/>
        </w:rPr>
        <w:t>122.89</w:t>
      </w:r>
      <w:r>
        <w:rPr>
          <w:rFonts w:hint="eastAsia" w:ascii="仿宋" w:hAnsi="仿宋" w:eastAsia="仿宋"/>
          <w:sz w:val="32"/>
          <w:szCs w:val="32"/>
        </w:rPr>
        <w:t>万元，比202</w:t>
      </w:r>
      <w:r>
        <w:rPr>
          <w:rFonts w:hint="eastAsia" w:ascii="仿宋" w:hAnsi="仿宋" w:eastAsia="仿宋"/>
          <w:sz w:val="32"/>
          <w:szCs w:val="32"/>
          <w:lang w:val="en-US" w:eastAsia="zh-CN"/>
        </w:rPr>
        <w:t>3</w:t>
      </w:r>
      <w:r>
        <w:rPr>
          <w:rFonts w:hint="eastAsia" w:ascii="仿宋" w:hAnsi="仿宋" w:eastAsia="仿宋"/>
          <w:sz w:val="32"/>
          <w:szCs w:val="32"/>
        </w:rPr>
        <w:t>年度</w:t>
      </w:r>
      <w:r>
        <w:rPr>
          <w:rFonts w:hint="eastAsia" w:ascii="仿宋" w:hAnsi="仿宋" w:eastAsia="仿宋"/>
          <w:sz w:val="32"/>
          <w:szCs w:val="32"/>
          <w:lang w:eastAsia="zh-CN"/>
        </w:rPr>
        <w:t>增加</w:t>
      </w:r>
      <w:r>
        <w:rPr>
          <w:rFonts w:hint="eastAsia" w:ascii="仿宋" w:hAnsi="仿宋" w:eastAsia="仿宋"/>
          <w:sz w:val="32"/>
          <w:szCs w:val="32"/>
          <w:lang w:val="en-US" w:eastAsia="zh-CN"/>
        </w:rPr>
        <w:t>2.12</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1.8</w:t>
      </w:r>
      <w:r>
        <w:rPr>
          <w:rFonts w:ascii="仿宋" w:hAnsi="仿宋" w:eastAsia="仿宋"/>
          <w:sz w:val="32"/>
          <w:szCs w:val="32"/>
        </w:rPr>
        <w:t>%</w:t>
      </w:r>
      <w:r>
        <w:rPr>
          <w:rFonts w:hint="eastAsia" w:ascii="仿宋" w:hAnsi="仿宋" w:eastAsia="仿宋"/>
          <w:sz w:val="32"/>
          <w:szCs w:val="32"/>
        </w:rPr>
        <w:t>。主要原因是</w:t>
      </w:r>
      <w:r>
        <w:rPr>
          <w:rFonts w:hint="eastAsia" w:ascii="仿宋" w:hAnsi="仿宋" w:eastAsia="仿宋"/>
          <w:sz w:val="32"/>
          <w:szCs w:val="32"/>
          <w:lang w:val="en-US" w:eastAsia="zh-CN"/>
        </w:rPr>
        <w:t>民政局机关增加公务员1人</w:t>
      </w:r>
      <w:r>
        <w:rPr>
          <w:rFonts w:hint="eastAsia" w:ascii="仿宋" w:hAnsi="仿宋" w:eastAsia="仿宋"/>
          <w:sz w:val="32"/>
          <w:szCs w:val="32"/>
        </w:rPr>
        <w:t>。</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2" w:firstLineChars="200"/>
        <w:textAlignment w:val="auto"/>
        <w:rPr>
          <w:rFonts w:ascii="仿宋" w:hAnsi="仿宋" w:eastAsia="仿宋"/>
          <w:b/>
          <w:color w:val="auto"/>
          <w:sz w:val="32"/>
          <w:szCs w:val="32"/>
        </w:rPr>
      </w:pPr>
      <w:bookmarkStart w:id="63" w:name="_Toc15377223"/>
      <w:r>
        <w:rPr>
          <w:rFonts w:hint="eastAsia" w:ascii="仿宋" w:hAnsi="仿宋" w:eastAsia="仿宋"/>
          <w:b/>
          <w:color w:val="auto"/>
          <w:sz w:val="32"/>
          <w:szCs w:val="32"/>
        </w:rPr>
        <w:t>（二）政府采购支出情况</w:t>
      </w:r>
      <w:bookmarkEnd w:id="63"/>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2024年度，广元市民政局政府采购支出总额39.</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万元，其中：政府采购货物支出39.</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万元。主要用于设备购置。授予中小企业合同金额</w:t>
      </w:r>
      <w:r>
        <w:rPr>
          <w:rFonts w:hint="eastAsia" w:ascii="仿宋" w:hAnsi="仿宋" w:eastAsia="仿宋"/>
          <w:color w:val="auto"/>
          <w:sz w:val="32"/>
          <w:szCs w:val="32"/>
          <w:lang w:val="en-US" w:eastAsia="zh-CN"/>
        </w:rPr>
        <w:t>11.03</w:t>
      </w:r>
      <w:r>
        <w:rPr>
          <w:rFonts w:hint="eastAsia" w:ascii="仿宋" w:hAnsi="仿宋" w:eastAsia="仿宋"/>
          <w:color w:val="auto"/>
          <w:sz w:val="32"/>
          <w:szCs w:val="32"/>
        </w:rPr>
        <w:t>万元，占政府采购支出总</w:t>
      </w:r>
      <w:r>
        <w:rPr>
          <w:rFonts w:hint="eastAsia" w:ascii="仿宋" w:hAnsi="仿宋" w:eastAsia="仿宋"/>
          <w:color w:val="auto"/>
          <w:sz w:val="32"/>
          <w:szCs w:val="32"/>
          <w:lang w:eastAsia="zh-CN"/>
        </w:rPr>
        <w:t>额</w:t>
      </w:r>
      <w:r>
        <w:rPr>
          <w:rFonts w:hint="eastAsia" w:ascii="仿宋" w:hAnsi="仿宋" w:eastAsia="仿宋"/>
          <w:color w:val="auto"/>
          <w:sz w:val="32"/>
          <w:szCs w:val="32"/>
        </w:rPr>
        <w:t>的</w:t>
      </w:r>
      <w:r>
        <w:rPr>
          <w:rFonts w:hint="eastAsia" w:ascii="仿宋" w:hAnsi="仿宋" w:eastAsia="仿宋"/>
          <w:color w:val="auto"/>
          <w:sz w:val="32"/>
          <w:szCs w:val="32"/>
          <w:lang w:val="en-US" w:eastAsia="zh-CN"/>
        </w:rPr>
        <w:t>28</w:t>
      </w:r>
      <w:r>
        <w:rPr>
          <w:rFonts w:hint="eastAsia" w:ascii="仿宋" w:hAnsi="仿宋" w:eastAsia="仿宋"/>
          <w:color w:val="auto"/>
          <w:sz w:val="32"/>
          <w:szCs w:val="32"/>
        </w:rPr>
        <w:t>%，其中：授予小微企业合同金额</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万元，占政府采购支出总额的</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576" w:lineRule="exact"/>
        <w:ind w:firstLine="642" w:firstLineChars="200"/>
        <w:textAlignment w:val="auto"/>
        <w:rPr>
          <w:rFonts w:hint="eastAsia" w:ascii="仿宋" w:hAnsi="仿宋" w:eastAsia="仿宋"/>
          <w:b/>
          <w:sz w:val="32"/>
          <w:szCs w:val="32"/>
        </w:rPr>
      </w:pPr>
      <w:bookmarkStart w:id="64" w:name="_Toc15377224"/>
      <w:r>
        <w:rPr>
          <w:rFonts w:hint="eastAsia" w:ascii="仿宋" w:hAnsi="仿宋" w:eastAsia="仿宋"/>
          <w:b/>
          <w:sz w:val="32"/>
          <w:szCs w:val="32"/>
        </w:rPr>
        <w:t>国有资产占有使用情况</w:t>
      </w:r>
      <w:bookmarkEnd w:id="64"/>
    </w:p>
    <w:p>
      <w:pPr>
        <w:pStyle w:val="2"/>
        <w:keepNext w:val="0"/>
        <w:keepLines w:val="0"/>
        <w:pageBreakBefore w:val="0"/>
        <w:widowControl w:val="0"/>
        <w:numPr>
          <w:ilvl w:val="0"/>
          <w:numId w:val="0"/>
        </w:numPr>
        <w:kinsoku/>
        <w:wordWrap/>
        <w:overflowPunct/>
        <w:topLinePunct w:val="0"/>
        <w:bidi w:val="0"/>
        <w:snapToGrid/>
        <w:spacing w:line="576" w:lineRule="exact"/>
        <w:ind w:firstLine="600" w:firstLineChars="200"/>
        <w:textAlignment w:val="auto"/>
        <w:rPr>
          <w:rFonts w:ascii="仿宋_GB2312" w:eastAsia="仿宋_GB2312"/>
          <w:color w:val="00B050"/>
          <w:sz w:val="32"/>
          <w:szCs w:val="32"/>
        </w:rPr>
      </w:pPr>
      <w:r>
        <w:rPr>
          <w:rFonts w:hint="eastAsia"/>
        </w:rPr>
        <w:t>截至2024年12月31日，广元市民政局共有车辆</w:t>
      </w:r>
      <w:r>
        <w:rPr>
          <w:rFonts w:hint="eastAsia"/>
          <w:lang w:val="en-US" w:eastAsia="zh-CN"/>
        </w:rPr>
        <w:t>10</w:t>
      </w:r>
      <w:r>
        <w:rPr>
          <w:rFonts w:hint="eastAsia"/>
        </w:rPr>
        <w:t>辆，其中：其他用车</w:t>
      </w:r>
      <w:r>
        <w:rPr>
          <w:rFonts w:hint="eastAsia"/>
          <w:lang w:val="en-US" w:eastAsia="zh-CN"/>
        </w:rPr>
        <w:t>10</w:t>
      </w:r>
      <w:r>
        <w:rPr>
          <w:rFonts w:hint="eastAsia"/>
        </w:rPr>
        <w:t>辆，其他用车主要是用于流浪乞讨人员的救助，服务对象生活保障用车，低保对象走访，殡葬政策宣传执法等用途。单价100万元以上设备（不含车辆）0台（套）。</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2" w:firstLineChars="200"/>
        <w:textAlignment w:val="auto"/>
        <w:rPr>
          <w:rFonts w:ascii="仿宋" w:hAnsi="仿宋" w:eastAsia="仿宋"/>
          <w:b/>
          <w:sz w:val="32"/>
          <w:szCs w:val="32"/>
        </w:rPr>
      </w:pPr>
      <w:r>
        <w:rPr>
          <w:rFonts w:hint="eastAsia" w:ascii="仿宋" w:hAnsi="仿宋" w:eastAsia="仿宋"/>
          <w:b/>
          <w:sz w:val="32"/>
          <w:szCs w:val="32"/>
        </w:rPr>
        <w:t>（四）预算绩效管理情况</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年度预算编制阶段，组织对临时救助资金、社会救助工作经费、养老服务业发展补助项目等</w:t>
      </w:r>
      <w:r>
        <w:rPr>
          <w:rFonts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个项目开展了预算事前绩效评估，对</w:t>
      </w:r>
      <w:r>
        <w:rPr>
          <w:rFonts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个项目编制了绩效目标，预算执行过程中，选取</w:t>
      </w:r>
      <w:r>
        <w:rPr>
          <w:rFonts w:ascii="仿宋_GB2312" w:hAnsi="仿宋_GB2312" w:eastAsia="仿宋_GB2312" w:cs="仿宋_GB2312"/>
          <w:sz w:val="32"/>
          <w:szCs w:val="32"/>
        </w:rPr>
        <w:t>14</w:t>
      </w:r>
      <w:r>
        <w:rPr>
          <w:rFonts w:hint="eastAsia" w:ascii="仿宋_GB2312" w:hAnsi="仿宋_GB2312" w:eastAsia="仿宋_GB2312" w:cs="仿宋_GB2312"/>
          <w:sz w:val="32"/>
          <w:szCs w:val="32"/>
        </w:rPr>
        <w:t>个项目开展绩效监控。</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组织对202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年度一般公共预算、政府性基金预算等全面开展绩效自评，形成广元市民政局部门整体（含部门预算项目）绩效自评报告、</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个专项预算项目绩效自评报告，其中，广元市民政局部门整体（含部门预算项目）绩效自评得分为</w:t>
      </w:r>
      <w:r>
        <w:rPr>
          <w:rFonts w:ascii="仿宋_GB2312" w:hAnsi="仿宋_GB2312" w:eastAsia="仿宋_GB2312" w:cs="仿宋_GB2312"/>
          <w:sz w:val="32"/>
          <w:szCs w:val="32"/>
        </w:rPr>
        <w:t>99.09</w:t>
      </w:r>
      <w:r>
        <w:rPr>
          <w:rFonts w:hint="eastAsia" w:ascii="仿宋_GB2312" w:hAnsi="仿宋_GB2312" w:eastAsia="仿宋_GB2312" w:cs="仿宋_GB2312"/>
          <w:sz w:val="32"/>
          <w:szCs w:val="32"/>
        </w:rPr>
        <w:t>分，绩效自评综述：优；临时救助资金专项预算项目绩效自评得分为</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分，绩效自评综述：优；养老服务业发展补助专项预算项目绩效自评得分为</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分，绩效自评综述：优；社会救助工作经费专项预算项目绩效自评得分为</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分，绩效自评综述：优。绩效自评报告详见附件。</w:t>
      </w: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3"/>
        <w:jc w:val="center"/>
        <w:rPr>
          <w:rFonts w:hint="eastAsia" w:ascii="黑体" w:hAnsi="黑体" w:eastAsia="黑体"/>
          <w:b w:val="0"/>
        </w:rPr>
      </w:pPr>
      <w:bookmarkStart w:id="65" w:name="_Toc8624"/>
      <w:r>
        <w:rPr>
          <w:rFonts w:hint="eastAsia" w:ascii="黑体" w:hAnsi="黑体" w:eastAsia="黑体"/>
          <w:b w:val="0"/>
        </w:rPr>
        <w:t>第三部分 名词解释</w:t>
      </w:r>
      <w:bookmarkEnd w:id="65"/>
    </w:p>
    <w:p/>
    <w:p>
      <w:pPr>
        <w:pStyle w:val="7"/>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textAlignment w:val="auto"/>
      </w:pPr>
      <w:r>
        <w:rPr>
          <w:rFonts w:hint="eastAsia"/>
        </w:rPr>
        <w:t>财政拨款收入：指单位从同级财政部门取得的财政预算资金。</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 xml:space="preserve">年初结转和结余：指以前年度尚未完成、结转到本年按有关规定继续使用的资金。 </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eastAsia="仿宋_GB2312"/>
          <w:sz w:val="32"/>
          <w:szCs w:val="32"/>
        </w:rPr>
      </w:pPr>
      <w:r>
        <w:rPr>
          <w:rFonts w:hint="eastAsia" w:ascii="仿宋_GB2312" w:eastAsia="仿宋_GB2312"/>
          <w:sz w:val="32"/>
          <w:szCs w:val="32"/>
        </w:rPr>
        <w:t>年末结转和结余：指单位按有关规定结转到下年或以后年度继续使用的资金。</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eastAsia="仿宋_GB2312"/>
          <w:sz w:val="32"/>
          <w:szCs w:val="32"/>
        </w:rPr>
      </w:pPr>
      <w:r>
        <w:rPr>
          <w:rFonts w:hint="eastAsia" w:ascii="仿宋_GB2312" w:eastAsia="仿宋_GB2312"/>
          <w:sz w:val="32"/>
          <w:szCs w:val="32"/>
        </w:rPr>
        <w:t>一般公共服务支出（类）人大事务（款）一般行政管理事务（项）</w:t>
      </w:r>
      <w:r>
        <w:rPr>
          <w:rFonts w:hint="eastAsia" w:ascii="仿宋_GB2312" w:eastAsia="仿宋_GB2312"/>
          <w:sz w:val="32"/>
          <w:szCs w:val="32"/>
          <w:lang w:eastAsia="zh-CN"/>
        </w:rPr>
        <w:t>：</w:t>
      </w:r>
      <w:r>
        <w:rPr>
          <w:rFonts w:hint="eastAsia" w:ascii="仿宋_GB2312" w:eastAsia="仿宋_GB2312"/>
          <w:sz w:val="32"/>
          <w:szCs w:val="32"/>
        </w:rPr>
        <w:t xml:space="preserve"> 反映</w:t>
      </w:r>
      <w:r>
        <w:rPr>
          <w:rFonts w:hint="eastAsia" w:ascii="仿宋_GB2312" w:eastAsia="仿宋_GB2312"/>
          <w:sz w:val="32"/>
          <w:szCs w:val="32"/>
          <w:lang w:val="en-US" w:eastAsia="zh-CN"/>
        </w:rPr>
        <w:t>行政单位（包括实行公务员管理的事业单位）未单独设置项级科目的其他项目支出</w:t>
      </w:r>
      <w:r>
        <w:rPr>
          <w:rFonts w:hint="eastAsia" w:ascii="仿宋_GB2312" w:eastAsia="仿宋_GB2312"/>
          <w:sz w:val="32"/>
          <w:szCs w:val="32"/>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eastAsia="仿宋_GB2312"/>
          <w:sz w:val="32"/>
          <w:szCs w:val="32"/>
        </w:rPr>
      </w:pPr>
      <w:r>
        <w:rPr>
          <w:rFonts w:hint="eastAsia" w:ascii="仿宋_GB2312" w:eastAsia="仿宋_GB2312"/>
          <w:sz w:val="32"/>
          <w:szCs w:val="32"/>
        </w:rPr>
        <w:t>社会保障和就业（类）人力资源和就业保障管理事务（款）引进人才费用（项）</w:t>
      </w:r>
      <w:r>
        <w:rPr>
          <w:rFonts w:hint="eastAsia" w:ascii="仿宋_GB2312" w:eastAsia="仿宋_GB2312"/>
          <w:sz w:val="32"/>
          <w:szCs w:val="32"/>
          <w:lang w:eastAsia="zh-CN"/>
        </w:rPr>
        <w:t>：</w:t>
      </w:r>
      <w:r>
        <w:rPr>
          <w:rFonts w:hint="eastAsia" w:ascii="仿宋_GB2312" w:eastAsia="仿宋_GB2312"/>
          <w:sz w:val="32"/>
          <w:szCs w:val="32"/>
        </w:rPr>
        <w:t xml:space="preserve"> 反映</w:t>
      </w:r>
      <w:r>
        <w:rPr>
          <w:rFonts w:hint="eastAsia" w:ascii="仿宋_GB2312" w:eastAsia="仿宋_GB2312"/>
          <w:sz w:val="32"/>
          <w:szCs w:val="32"/>
          <w:lang w:val="en-US" w:eastAsia="zh-CN"/>
        </w:rPr>
        <w:t>用于引进国外专家补助、引智成果推广等方面的支出</w:t>
      </w:r>
      <w:r>
        <w:rPr>
          <w:rFonts w:hint="eastAsia" w:ascii="仿宋_GB2312" w:eastAsia="仿宋_GB2312"/>
          <w:sz w:val="32"/>
          <w:szCs w:val="32"/>
        </w:rPr>
        <w:t>。</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eastAsia="仿宋_GB2312"/>
          <w:sz w:val="32"/>
          <w:szCs w:val="32"/>
        </w:rPr>
      </w:pPr>
      <w:r>
        <w:rPr>
          <w:rFonts w:hint="eastAsia" w:ascii="仿宋_GB2312" w:eastAsia="仿宋_GB2312"/>
          <w:sz w:val="32"/>
          <w:szCs w:val="32"/>
        </w:rPr>
        <w:t>社会保障和就业（类）人力资源和就业保障管理事务（款）其他人才资源和社会保障管理（项）</w:t>
      </w:r>
      <w:r>
        <w:rPr>
          <w:rFonts w:hint="eastAsia" w:ascii="仿宋_GB2312" w:eastAsia="仿宋_GB2312"/>
          <w:sz w:val="32"/>
          <w:szCs w:val="32"/>
          <w:lang w:eastAsia="zh-CN"/>
        </w:rPr>
        <w:t>：</w:t>
      </w:r>
      <w:r>
        <w:rPr>
          <w:rFonts w:hint="eastAsia" w:ascii="仿宋_GB2312" w:eastAsia="仿宋_GB2312"/>
          <w:sz w:val="32"/>
          <w:szCs w:val="32"/>
        </w:rPr>
        <w:t xml:space="preserve"> 反映</w:t>
      </w:r>
      <w:r>
        <w:rPr>
          <w:rFonts w:hint="eastAsia" w:ascii="仿宋_GB2312" w:eastAsia="仿宋_GB2312"/>
          <w:sz w:val="32"/>
          <w:szCs w:val="32"/>
          <w:lang w:val="en-US" w:eastAsia="zh-CN"/>
        </w:rPr>
        <w:t>其他用于人力资源和社会保障管理事务方面的支出</w:t>
      </w:r>
      <w:r>
        <w:rPr>
          <w:rFonts w:hint="eastAsia" w:ascii="仿宋_GB2312" w:eastAsia="仿宋_GB2312"/>
          <w:sz w:val="32"/>
          <w:szCs w:val="32"/>
        </w:rPr>
        <w:t>。</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社会保障和就业支出（类）民政管理事务（款）行政运行（项）：反映民政局机关（包括实行公务员管理的2个事业单位）的基本支出。</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社会保障和就业支出（类）民政管理事务（款）一般行政管理事务（项）：反映民政局机关（包括实行公务员管理的2个事业单位）未单独设置项级科目其他项目支出。</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社会保障和就业支出（类）民政管理事务（款）机关服务（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包括实行公务员管理的2个事业单位）。</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社会保障和就业支出（类）民政管理事务（款）社会组织管理（项）：反映社会团体、社会服务机构等社会组织登记和监督管理办法并组织实施，依法对社会组织进行登记管理和执法监督等方面的支出。</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社会保障和就业支出（类）民政管理事务（款）行政区划和地名管理（项）：反映行政区划管理政策和行政区域界线、地名管理办法，负责全市乡镇以上行政区划设立、命名、撤销、变更和政府驻地迁移审核报批工作，组织并指导全市行政区域界线的勘定、管理工作，调处行政区域边界争议，负责地名管理工作等方面的支出。</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社会保障和就业支出（类）民政管理事务（款）其他民政管理事务支出（项）：反映民政部门接待来访、法制建设、政策宣传方面的支出，以及开展社会救助、社会福利、婚姻登记、社会事务、驻纪检组、“两改办”等信息化建设专项业务的支出。</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社会保障和就业支出（类）行政事业单位养老支出（款）机关事业单位基本养老保险缴费支出（项）：反映机关事业单位实施养老保险制度由单位缴纳的基本养老保险费支出。</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社会保障和就业支出（类）社会福利（款）儿童福利（项）：反映对儿童提供福利服务方面的支出。</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社会保障和就业支出（类）社会福利（款）老年福利（项）：指养老、敬老等老年服务工作。</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社会保障和就业支出（类）社会福利（款）殡葬（项）：拟订殡葬管理政策、服务规范并组织实施，负责殡葬管理工作，推进殡葬改革等工作方面的支出。</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社会保障和就业支出（类）社会福利（款）社会福利事业单位（项）：反映民政部门举办的社会福利事业单位的支出，以及对集体社会福利事业单位的补助费。</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社会保障和就业支出（类）社会福利（款）养老服务（项）：反映财政在养老服务方面的补助支出，包括支持居家养老服务、社区养老服务和机构养老服务的支出，对养老服务机构的运营、建设补助支出等，不包括对社会福利事业单位的补助支出。</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社会保障和就业支出（类）社会福利（款）其他社会福利支出（项）：反映除上述项目以外其他用于社会福利方面的支出。</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eastAsia="仿宋_GB2312"/>
          <w:sz w:val="32"/>
          <w:szCs w:val="32"/>
        </w:rPr>
      </w:pPr>
      <w:r>
        <w:rPr>
          <w:rFonts w:hint="eastAsia" w:ascii="仿宋_GB2312" w:eastAsia="仿宋_GB2312"/>
          <w:sz w:val="32"/>
          <w:szCs w:val="32"/>
        </w:rPr>
        <w:t>社会保障和就业支出（类）临时救助（款）临时救助支出（项）：反映城乡生活困难居民的临时生活救助等支出。</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社会保障和就业支出（类）临时救助（款）流浪乞讨人员救助支出（项）：反映用于生活无着的流浪乞讨人员的救助支出和救助管理机构的运转支出。</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eastAsia="仿宋_GB2312"/>
          <w:sz w:val="32"/>
          <w:szCs w:val="32"/>
        </w:rPr>
      </w:pPr>
      <w:r>
        <w:rPr>
          <w:rFonts w:hint="eastAsia" w:ascii="仿宋_GB2312" w:eastAsia="仿宋_GB2312"/>
          <w:sz w:val="32"/>
          <w:szCs w:val="32"/>
        </w:rPr>
        <w:t>社会保障和就业支出（类）其他生活救助（款）其他城市生活救助（项）：反映</w:t>
      </w:r>
      <w:r>
        <w:rPr>
          <w:rFonts w:hint="eastAsia" w:ascii="仿宋_GB2312" w:eastAsia="仿宋_GB2312"/>
          <w:sz w:val="32"/>
          <w:szCs w:val="32"/>
          <w:lang w:val="en-US" w:eastAsia="zh-CN"/>
        </w:rPr>
        <w:t>除最低生活保障、临时救助、特困人员救助供养外，用于城市生活苦难居民生活救助的其他支出，包括用于除优抚对象、失业人员之外城市生活苦难居民的价格临时补贴支出</w:t>
      </w:r>
      <w:r>
        <w:rPr>
          <w:rFonts w:hint="eastAsia" w:ascii="仿宋_GB2312" w:eastAsia="仿宋_GB2312"/>
          <w:sz w:val="32"/>
          <w:szCs w:val="32"/>
        </w:rPr>
        <w:t>。</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eastAsia="仿宋_GB2312"/>
          <w:sz w:val="32"/>
          <w:szCs w:val="32"/>
        </w:rPr>
      </w:pPr>
      <w:r>
        <w:rPr>
          <w:rFonts w:hint="eastAsia" w:ascii="仿宋_GB2312" w:eastAsia="仿宋_GB2312"/>
          <w:sz w:val="32"/>
          <w:szCs w:val="32"/>
        </w:rPr>
        <w:t>社会保障和就业支出（类）其他社会保障和就业支出（款）其他社会保障和就业支出（项）：反映</w:t>
      </w:r>
      <w:r>
        <w:rPr>
          <w:rFonts w:hint="eastAsia" w:ascii="仿宋_GB2312" w:eastAsia="仿宋_GB2312"/>
          <w:sz w:val="32"/>
          <w:szCs w:val="32"/>
          <w:lang w:val="en-US" w:eastAsia="zh-CN"/>
        </w:rPr>
        <w:t>其他用于社会保障和就业方面的支出</w:t>
      </w:r>
      <w:r>
        <w:rPr>
          <w:rFonts w:hint="eastAsia" w:ascii="仿宋_GB2312" w:eastAsia="仿宋_GB2312"/>
          <w:sz w:val="32"/>
          <w:szCs w:val="32"/>
        </w:rPr>
        <w:t>。</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卫生健康支出（类）行政事业单位医疗（款）行政单位医疗（项）：是指行政事业单位医疗方面的支出。反映财政部门集中安排的行政单位基本医疗保险缴费经费。</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卫生健康支出（类）行政事业单位医疗（款）事业单位医疗（项）：反映财政部门集中安排的事业单位基本医疗保险缴费经费。</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eastAsia="仿宋_GB2312"/>
          <w:sz w:val="32"/>
          <w:szCs w:val="32"/>
        </w:rPr>
      </w:pPr>
      <w:r>
        <w:rPr>
          <w:rFonts w:hint="eastAsia" w:ascii="仿宋_GB2312" w:eastAsia="仿宋_GB2312"/>
          <w:sz w:val="32"/>
          <w:szCs w:val="32"/>
        </w:rPr>
        <w:t>住房保障支出（类）住房改革支出（款）住房公积金（项）：反映行政事业单位按人力资源和社会保障部、财政部规定的基本工资和津贴补贴以及规定比例为职工缴纳的住房公积金。</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eastAsia="仿宋_GB2312"/>
          <w:sz w:val="32"/>
          <w:szCs w:val="32"/>
          <w:lang w:eastAsia="zh-CN"/>
        </w:rPr>
      </w:pPr>
      <w:r>
        <w:rPr>
          <w:rFonts w:hint="eastAsia" w:ascii="仿宋_GB2312" w:eastAsia="仿宋_GB2312"/>
          <w:color w:val="auto"/>
          <w:sz w:val="32"/>
          <w:szCs w:val="32"/>
          <w:lang w:val="en-US" w:eastAsia="zh-CN"/>
        </w:rPr>
        <w:t>其他</w:t>
      </w:r>
      <w:r>
        <w:rPr>
          <w:rFonts w:hint="eastAsia" w:ascii="仿宋_GB2312" w:eastAsia="仿宋_GB2312"/>
          <w:sz w:val="32"/>
          <w:szCs w:val="32"/>
        </w:rPr>
        <w:t>支出（类）其他政府性基金及对应专项债务收入安排的支出（款）其他地方自行试点项目收益专项债券收入安排的支出（项）：反映</w:t>
      </w:r>
      <w:r>
        <w:rPr>
          <w:rFonts w:hint="eastAsia" w:ascii="仿宋_GB2312" w:eastAsia="仿宋_GB2312"/>
          <w:sz w:val="32"/>
          <w:szCs w:val="32"/>
          <w:lang w:val="en-US" w:eastAsia="zh-CN"/>
        </w:rPr>
        <w:t>其他地方自行试点项目收益专项债券收入安排的支出</w:t>
      </w:r>
      <w:r>
        <w:rPr>
          <w:rFonts w:hint="eastAsia" w:ascii="仿宋_GB2312" w:eastAsia="仿宋_GB2312"/>
          <w:sz w:val="32"/>
          <w:szCs w:val="32"/>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其他支出（类）彩票公益金安排的支出（款）用于社会福利的彩票公益金支出（项）：反映</w:t>
      </w:r>
      <w:r>
        <w:rPr>
          <w:rFonts w:hint="eastAsia" w:ascii="仿宋_GB2312" w:eastAsia="仿宋_GB2312"/>
          <w:sz w:val="32"/>
          <w:szCs w:val="32"/>
          <w:lang w:val="en-US" w:eastAsia="zh-CN"/>
        </w:rPr>
        <w:t>用于社会福利和社会救助的彩票公益金支出</w:t>
      </w:r>
      <w:r>
        <w:rPr>
          <w:rFonts w:hint="eastAsia" w:ascii="仿宋_GB2312" w:eastAsia="仿宋_GB2312"/>
          <w:sz w:val="32"/>
          <w:szCs w:val="32"/>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基本支出：指为保障机构正常运转、完成日常工作任务而发生的人员支出和公用支出。</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项目支出：指在基本支出之外为完成特定行政任务和事业发展目标所发生的支出。</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 xml:space="preserve"> “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2" w:firstLineChars="200"/>
        <w:rPr>
          <w:rFonts w:ascii="仿宋" w:hAnsi="仿宋" w:eastAsia="仿宋"/>
          <w:b/>
          <w:sz w:val="32"/>
          <w:szCs w:val="32"/>
        </w:rPr>
      </w:pPr>
      <w:r>
        <w:rPr>
          <w:rFonts w:ascii="仿宋" w:hAnsi="仿宋" w:eastAsia="仿宋"/>
          <w:b/>
          <w:sz w:val="32"/>
          <w:szCs w:val="32"/>
        </w:rPr>
        <w:br w:type="page"/>
      </w:r>
    </w:p>
    <w:p>
      <w:pPr>
        <w:pStyle w:val="3"/>
        <w:jc w:val="center"/>
        <w:rPr>
          <w:rFonts w:ascii="黑体" w:hAnsi="黑体" w:eastAsia="黑体"/>
          <w:b w:val="0"/>
        </w:rPr>
      </w:pPr>
      <w:bookmarkStart w:id="66" w:name="_Toc2251"/>
      <w:r>
        <w:rPr>
          <w:rFonts w:hint="eastAsia" w:ascii="黑体" w:hAnsi="黑体" w:eastAsia="黑体"/>
          <w:b w:val="0"/>
        </w:rPr>
        <w:t>第四部分 附件</w:t>
      </w:r>
      <w:bookmarkEnd w:id="66"/>
    </w:p>
    <w:p>
      <w:pPr>
        <w:spacing w:line="572" w:lineRule="exact"/>
        <w:jc w:val="left"/>
        <w:outlineLvl w:val="4"/>
        <w:rPr>
          <w:rFonts w:ascii="方正小标宋简体" w:hAnsi="方正小标宋简体" w:eastAsia="黑体" w:cs="方正小标宋简体"/>
          <w:sz w:val="44"/>
          <w:szCs w:val="44"/>
        </w:rPr>
      </w:pPr>
      <w:r>
        <w:rPr>
          <w:rFonts w:hint="eastAsia" w:ascii="黑体" w:hAnsi="黑体" w:eastAsia="黑体" w:cs="黑体"/>
          <w:sz w:val="32"/>
          <w:szCs w:val="32"/>
        </w:rPr>
        <w:t>附件1</w:t>
      </w:r>
    </w:p>
    <w:p>
      <w:pPr>
        <w:outlineLvl w:val="1"/>
        <w:rPr>
          <w:rFonts w:ascii="黑体" w:hAnsi="黑体" w:eastAsia="黑体"/>
          <w:sz w:val="32"/>
          <w:szCs w:val="32"/>
        </w:rPr>
      </w:pPr>
    </w:p>
    <w:p>
      <w:pPr>
        <w:keepNext w:val="0"/>
        <w:keepLines w:val="0"/>
        <w:pageBreakBefore w:val="0"/>
        <w:widowControl/>
        <w:suppressAutoHyphens/>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color w:val="auto"/>
          <w:sz w:val="44"/>
          <w:szCs w:val="44"/>
          <w:highlight w:val="none"/>
          <w:shd w:val="clear" w:color="auto" w:fill="FFFFFF"/>
        </w:rPr>
      </w:pPr>
      <w:r>
        <w:rPr>
          <w:rFonts w:hint="eastAsia" w:ascii="Times New Roman" w:hAnsi="Times New Roman" w:eastAsia="方正小标宋简体" w:cs="Times New Roman"/>
          <w:b w:val="0"/>
          <w:bCs/>
          <w:color w:val="auto"/>
          <w:sz w:val="44"/>
          <w:szCs w:val="44"/>
          <w:highlight w:val="none"/>
          <w:shd w:val="clear" w:color="auto" w:fill="FFFFFF"/>
        </w:rPr>
        <w:t>广元市民政局</w:t>
      </w:r>
      <w:r>
        <w:rPr>
          <w:rFonts w:hint="default" w:ascii="Times New Roman" w:hAnsi="Times New Roman" w:eastAsia="方正小标宋简体" w:cs="Times New Roman"/>
          <w:b w:val="0"/>
          <w:bCs/>
          <w:color w:val="auto"/>
          <w:sz w:val="44"/>
          <w:szCs w:val="44"/>
          <w:highlight w:val="none"/>
          <w:shd w:val="clear" w:color="auto" w:fill="FFFFFF"/>
        </w:rPr>
        <w:t>部门</w:t>
      </w:r>
      <w:r>
        <w:rPr>
          <w:rFonts w:hint="eastAsia" w:ascii="Times New Roman" w:hAnsi="Times New Roman" w:eastAsia="方正小标宋简体" w:cs="Times New Roman"/>
          <w:b w:val="0"/>
          <w:bCs/>
          <w:color w:val="auto"/>
          <w:sz w:val="44"/>
          <w:szCs w:val="44"/>
          <w:highlight w:val="none"/>
          <w:shd w:val="clear" w:color="auto" w:fill="FFFFFF"/>
        </w:rPr>
        <w:t>整体</w:t>
      </w:r>
      <w:r>
        <w:rPr>
          <w:rFonts w:hint="default" w:ascii="Times New Roman" w:hAnsi="Times New Roman" w:eastAsia="方正小标宋简体" w:cs="Times New Roman"/>
          <w:b w:val="0"/>
          <w:bCs/>
          <w:color w:val="auto"/>
          <w:sz w:val="44"/>
          <w:szCs w:val="44"/>
          <w:highlight w:val="none"/>
          <w:shd w:val="clear" w:color="auto" w:fill="FFFFFF"/>
        </w:rPr>
        <w:t>预算绩效</w:t>
      </w:r>
      <w:r>
        <w:rPr>
          <w:rFonts w:hint="eastAsia" w:ascii="Times New Roman" w:hAnsi="Times New Roman" w:eastAsia="方正小标宋简体" w:cs="Times New Roman"/>
          <w:b w:val="0"/>
          <w:bCs/>
          <w:color w:val="auto"/>
          <w:sz w:val="44"/>
          <w:szCs w:val="44"/>
          <w:highlight w:val="none"/>
          <w:shd w:val="clear" w:color="auto" w:fill="FFFFFF"/>
        </w:rPr>
        <w:t>评价</w:t>
      </w:r>
    </w:p>
    <w:p>
      <w:pPr>
        <w:widowControl/>
        <w:adjustRightInd w:val="0"/>
        <w:snapToGrid w:val="0"/>
        <w:spacing w:line="576" w:lineRule="exact"/>
        <w:ind w:firstLine="880" w:firstLineChars="200"/>
        <w:contextualSpacing/>
        <w:jc w:val="left"/>
        <w:rPr>
          <w:rFonts w:eastAsia="方正小标宋简体"/>
          <w:bCs/>
          <w:sz w:val="44"/>
          <w:szCs w:val="44"/>
          <w:shd w:val="clear" w:color="auto" w:fill="FFFFFF"/>
        </w:rPr>
      </w:pPr>
    </w:p>
    <w:p>
      <w:pPr>
        <w:keepNext w:val="0"/>
        <w:keepLines w:val="0"/>
        <w:pageBreakBefore w:val="0"/>
        <w:widowControl/>
        <w:suppressAutoHyphens/>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rPr>
      </w:pPr>
      <w:r>
        <w:rPr>
          <w:rFonts w:hint="eastAsia" w:ascii="Times New Roman" w:hAnsi="Times New Roman" w:eastAsia="黑体" w:cs="Times New Roman"/>
          <w:color w:val="000000"/>
          <w:kern w:val="0"/>
          <w:sz w:val="32"/>
          <w:szCs w:val="32"/>
          <w:highlight w:val="none"/>
          <w:shd w:val="clear" w:color="auto" w:fill="FFFFFF"/>
        </w:rPr>
        <w:t>一、</w:t>
      </w:r>
      <w:r>
        <w:rPr>
          <w:rFonts w:hint="default" w:ascii="Times New Roman" w:hAnsi="Times New Roman" w:eastAsia="黑体" w:cs="Times New Roman"/>
          <w:color w:val="000000"/>
          <w:kern w:val="0"/>
          <w:sz w:val="32"/>
          <w:szCs w:val="32"/>
          <w:highlight w:val="none"/>
          <w:shd w:val="clear" w:color="auto" w:fill="FFFFFF"/>
        </w:rPr>
        <w:t>部门（单位）基本情况</w:t>
      </w:r>
    </w:p>
    <w:p>
      <w:pPr>
        <w:pStyle w:val="7"/>
        <w:keepNext w:val="0"/>
        <w:keepLines w:val="0"/>
        <w:pageBreakBefore w:val="0"/>
        <w:kinsoku/>
        <w:wordWrap/>
        <w:overflowPunct/>
        <w:topLinePunct w:val="0"/>
        <w:autoSpaceDE/>
        <w:autoSpaceDN/>
        <w:bidi w:val="0"/>
        <w:spacing w:line="576" w:lineRule="exact"/>
        <w:textAlignment w:val="auto"/>
        <w:rPr>
          <w:rFonts w:hint="eastAsia" w:ascii="Times New Roman" w:hAnsi="Times New Roman" w:eastAsia="楷体_GB2312" w:cs="Times New Roman"/>
          <w:b/>
          <w:bCs/>
          <w:color w:val="000000"/>
          <w:kern w:val="0"/>
          <w:sz w:val="32"/>
          <w:szCs w:val="32"/>
          <w:highlight w:val="none"/>
          <w:shd w:val="clear" w:color="auto" w:fill="FFFFFF"/>
          <w:lang w:val="zh-CN" w:eastAsia="zh-CN" w:bidi="ar-SA"/>
        </w:rPr>
      </w:pPr>
      <w:r>
        <w:rPr>
          <w:rFonts w:hint="eastAsia" w:ascii="Times New Roman" w:hAnsi="Times New Roman" w:eastAsia="楷体_GB2312" w:cs="Times New Roman"/>
          <w:b/>
          <w:bCs/>
          <w:color w:val="000000"/>
          <w:kern w:val="0"/>
          <w:sz w:val="32"/>
          <w:szCs w:val="32"/>
          <w:highlight w:val="none"/>
          <w:shd w:val="clear" w:color="auto" w:fill="FFFFFF"/>
          <w:lang w:val="zh-CN" w:eastAsia="zh-CN" w:bidi="ar-SA"/>
        </w:rPr>
        <w:t>（一）机构组成。</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kern w:val="0"/>
          <w:szCs w:val="32"/>
          <w:lang w:bidi="ar"/>
        </w:rPr>
      </w:pPr>
      <w:r>
        <w:rPr>
          <w:rFonts w:hint="eastAsia" w:ascii="仿宋_GB2312" w:hAnsi="仿宋_GB2312" w:eastAsia="仿宋_GB2312" w:cs="仿宋_GB2312"/>
          <w:sz w:val="32"/>
          <w:szCs w:val="32"/>
        </w:rPr>
        <w:t>根据中共广元市委办公室 广元市人民政府办公室《关于印发广元市民政局职能配置、内设机构和人员编制规定》的通知等文件，市民政局内设：</w:t>
      </w:r>
      <w:r>
        <w:rPr>
          <w:rFonts w:hint="eastAsia" w:ascii="仿宋_GB2312" w:hAnsi="仿宋_GB2312" w:eastAsia="仿宋_GB2312" w:cs="仿宋_GB2312"/>
          <w:kern w:val="0"/>
          <w:sz w:val="32"/>
          <w:szCs w:val="32"/>
          <w:lang w:bidi="ar"/>
        </w:rPr>
        <w:t>办公室（信访科）、社会组织管理科（社会组织执法监督科）、社会救助科、基层政权和社区治理科、社会事务和儿童保障科（区划地名科）、福利慈善和社会工作科、养老服务科</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bidi="ar"/>
        </w:rPr>
        <w:t>市社会组织第二综合党委办公室、财务科。拟订全市民政事业发展规划并监督实施、人事科等10个科室。</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kern w:val="0"/>
          <w:szCs w:val="32"/>
          <w:lang w:bidi="ar"/>
        </w:rPr>
      </w:pPr>
      <w:r>
        <w:rPr>
          <w:rFonts w:hint="eastAsia" w:ascii="仿宋_GB2312" w:hAnsi="仿宋_GB2312" w:eastAsia="仿宋_GB2312" w:cs="仿宋_GB2312"/>
          <w:kern w:val="0"/>
          <w:sz w:val="32"/>
          <w:szCs w:val="32"/>
          <w:lang w:bidi="ar"/>
        </w:rPr>
        <w:t>下设广元市殡葬管理所、广元市儿童福利院、广元市老年大学（老年活动中心）、广元市社会福利院、广元市救助管理站、广元市社会救助综合服务中心6个直属单位。</w:t>
      </w:r>
    </w:p>
    <w:p>
      <w:pPr>
        <w:pStyle w:val="7"/>
        <w:keepNext w:val="0"/>
        <w:keepLines w:val="0"/>
        <w:pageBreakBefore w:val="0"/>
        <w:kinsoku/>
        <w:wordWrap/>
        <w:overflowPunct/>
        <w:topLinePunct w:val="0"/>
        <w:autoSpaceDE/>
        <w:autoSpaceDN/>
        <w:bidi w:val="0"/>
        <w:spacing w:line="576" w:lineRule="exact"/>
        <w:textAlignment w:val="auto"/>
        <w:rPr>
          <w:rFonts w:hint="eastAsia" w:ascii="Times New Roman" w:hAnsi="Times New Roman" w:eastAsia="楷体_GB2312" w:cs="Times New Roman"/>
          <w:b/>
          <w:bCs/>
          <w:color w:val="000000"/>
          <w:kern w:val="0"/>
          <w:sz w:val="32"/>
          <w:szCs w:val="32"/>
          <w:highlight w:val="none"/>
          <w:shd w:val="clear" w:color="auto" w:fill="FFFFFF"/>
          <w:lang w:val="zh-CN" w:eastAsia="zh-CN" w:bidi="ar-SA"/>
        </w:rPr>
      </w:pPr>
      <w:r>
        <w:rPr>
          <w:rFonts w:hint="eastAsia" w:ascii="Times New Roman" w:hAnsi="Times New Roman" w:eastAsia="楷体_GB2312" w:cs="Times New Roman"/>
          <w:b/>
          <w:bCs/>
          <w:color w:val="000000"/>
          <w:kern w:val="0"/>
          <w:sz w:val="32"/>
          <w:szCs w:val="32"/>
          <w:highlight w:val="none"/>
          <w:shd w:val="clear" w:color="auto" w:fill="FFFFFF"/>
          <w:lang w:val="zh-CN" w:eastAsia="zh-CN" w:bidi="ar-SA"/>
        </w:rPr>
        <w:t>（</w:t>
      </w:r>
      <w:r>
        <w:rPr>
          <w:rFonts w:hint="eastAsia" w:ascii="Times New Roman" w:hAnsi="Times New Roman" w:eastAsia="楷体_GB2312" w:cs="Times New Roman"/>
          <w:b/>
          <w:bCs/>
          <w:color w:val="000000"/>
          <w:kern w:val="0"/>
          <w:sz w:val="32"/>
          <w:szCs w:val="32"/>
          <w:highlight w:val="none"/>
          <w:shd w:val="clear" w:color="auto" w:fill="FFFFFF"/>
          <w:lang w:val="en-US" w:eastAsia="zh-CN" w:bidi="ar-SA"/>
        </w:rPr>
        <w:t>二）</w:t>
      </w:r>
      <w:r>
        <w:rPr>
          <w:rFonts w:hint="eastAsia" w:ascii="Times New Roman" w:hAnsi="Times New Roman" w:eastAsia="楷体_GB2312" w:cs="Times New Roman"/>
          <w:b/>
          <w:bCs/>
          <w:color w:val="000000"/>
          <w:kern w:val="0"/>
          <w:sz w:val="32"/>
          <w:szCs w:val="32"/>
          <w:highlight w:val="none"/>
          <w:shd w:val="clear" w:color="auto" w:fill="FFFFFF"/>
          <w:lang w:val="zh-CN" w:eastAsia="zh-CN" w:bidi="ar-SA"/>
        </w:rPr>
        <w:t>机构职能。</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szCs w:val="32"/>
        </w:rPr>
      </w:pPr>
      <w:r>
        <w:rPr>
          <w:rFonts w:hint="eastAsia" w:ascii="仿宋_GB2312" w:hAnsi="仿宋_GB2312" w:eastAsia="仿宋_GB2312" w:cs="仿宋_GB2312"/>
          <w:sz w:val="32"/>
          <w:szCs w:val="32"/>
        </w:rPr>
        <w:t>根据中共广元市委办公室 广元市人民政府办公室关于印发《广元市民政局职能配置、内设机构和人员编制定》的通知（广委办函&lt;2019&gt;67号），市民政局的主要职是：</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szCs w:val="32"/>
        </w:rPr>
      </w:pPr>
      <w:r>
        <w:rPr>
          <w:rFonts w:hint="eastAsia" w:ascii="仿宋_GB2312" w:hAnsi="仿宋_GB2312" w:eastAsia="仿宋_GB2312" w:cs="仿宋_GB2312"/>
          <w:sz w:val="32"/>
          <w:szCs w:val="32"/>
        </w:rPr>
        <w:t>1</w:t>
      </w:r>
      <w:r>
        <w:rPr>
          <w:rFonts w:hint="eastAsia" w:ascii="仿宋_GB2312" w:hAnsi="仿宋_GB2312" w:cs="仿宋_GB2312"/>
          <w:sz w:val="32"/>
          <w:szCs w:val="32"/>
        </w:rPr>
        <w:t>.</w:t>
      </w:r>
      <w:r>
        <w:rPr>
          <w:rFonts w:hint="eastAsia" w:ascii="仿宋_GB2312" w:hAnsi="仿宋_GB2312" w:eastAsia="仿宋_GB2312" w:cs="仿宋_GB2312"/>
          <w:sz w:val="32"/>
          <w:szCs w:val="32"/>
        </w:rPr>
        <w:t xml:space="preserve">起草民政工作地方性法规、规章草案，拟订全市民政事业发展规划、政策、标准并组织实施。 </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szCs w:val="32"/>
        </w:rPr>
      </w:pPr>
      <w:r>
        <w:rPr>
          <w:rFonts w:hint="eastAsia" w:ascii="仿宋_GB2312" w:hAnsi="仿宋_GB2312" w:eastAsia="仿宋_GB2312" w:cs="仿宋_GB2312"/>
          <w:sz w:val="32"/>
          <w:szCs w:val="32"/>
        </w:rPr>
        <w:t>2</w:t>
      </w:r>
      <w:r>
        <w:rPr>
          <w:rFonts w:hint="eastAsia" w:ascii="仿宋_GB2312" w:hAnsi="仿宋_GB2312" w:cs="仿宋_GB2312"/>
          <w:sz w:val="32"/>
          <w:szCs w:val="32"/>
        </w:rPr>
        <w:t>.</w:t>
      </w:r>
      <w:r>
        <w:rPr>
          <w:rFonts w:hint="eastAsia" w:ascii="仿宋_GB2312" w:hAnsi="仿宋_GB2312" w:eastAsia="仿宋_GB2312" w:cs="仿宋_GB2312"/>
          <w:sz w:val="32"/>
          <w:szCs w:val="32"/>
        </w:rPr>
        <w:t xml:space="preserve">拟订社会团体、社会服务机构等社会组织登记和监督管理办法并组织实施，依法对社会组织进行登记管理和执法监督。 </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szCs w:val="32"/>
        </w:rPr>
      </w:pPr>
      <w:r>
        <w:rPr>
          <w:rFonts w:hint="eastAsia" w:ascii="仿宋_GB2312" w:hAnsi="仿宋_GB2312" w:eastAsia="仿宋_GB2312" w:cs="仿宋_GB2312"/>
          <w:sz w:val="32"/>
          <w:szCs w:val="32"/>
        </w:rPr>
        <w:t>3</w:t>
      </w:r>
      <w:r>
        <w:rPr>
          <w:rFonts w:hint="eastAsia" w:ascii="仿宋_GB2312" w:hAnsi="仿宋_GB2312" w:cs="仿宋_GB2312"/>
          <w:sz w:val="32"/>
          <w:szCs w:val="32"/>
        </w:rPr>
        <w:t>.</w:t>
      </w:r>
      <w:r>
        <w:rPr>
          <w:rFonts w:hint="eastAsia" w:ascii="仿宋_GB2312" w:hAnsi="仿宋_GB2312" w:eastAsia="仿宋_GB2312" w:cs="仿宋_GB2312"/>
          <w:sz w:val="32"/>
          <w:szCs w:val="32"/>
        </w:rPr>
        <w:t xml:space="preserve">牵头拟订全市社会救助规划、政策、标准，统筹推进社会救助体系建设，负责城乡居民最低生活保障、特困人员救助供养、临时救助、生活无着流浪乞讨人员救助工作。 </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szCs w:val="32"/>
        </w:rPr>
      </w:pPr>
      <w:r>
        <w:rPr>
          <w:rFonts w:hint="eastAsia" w:ascii="仿宋_GB2312" w:hAnsi="仿宋_GB2312" w:eastAsia="仿宋_GB2312" w:cs="仿宋_GB2312"/>
          <w:sz w:val="32"/>
          <w:szCs w:val="32"/>
        </w:rPr>
        <w:t>4</w:t>
      </w:r>
      <w:r>
        <w:rPr>
          <w:rFonts w:hint="eastAsia" w:ascii="仿宋_GB2312" w:hAnsi="仿宋_GB2312" w:cs="仿宋_GB2312"/>
          <w:sz w:val="32"/>
          <w:szCs w:val="32"/>
        </w:rPr>
        <w:t>.</w:t>
      </w:r>
      <w:r>
        <w:rPr>
          <w:rFonts w:hint="eastAsia" w:ascii="仿宋_GB2312" w:hAnsi="仿宋_GB2312" w:eastAsia="仿宋_GB2312" w:cs="仿宋_GB2312"/>
          <w:sz w:val="32"/>
          <w:szCs w:val="32"/>
        </w:rPr>
        <w:t xml:space="preserve">拟订城乡基层群众自治建设和社区治理政策，指导城乡社区治理体系、服务体系和治理能力建设，提出加强和改进城乡基层政权建设的建议，推动基层民主政治建设。 </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szCs w:val="32"/>
        </w:rPr>
      </w:pPr>
      <w:r>
        <w:rPr>
          <w:rFonts w:hint="eastAsia" w:ascii="仿宋_GB2312" w:hAnsi="仿宋_GB2312" w:cs="仿宋_GB2312"/>
          <w:sz w:val="32"/>
          <w:szCs w:val="32"/>
        </w:rPr>
        <w:t>5.</w:t>
      </w:r>
      <w:r>
        <w:rPr>
          <w:rFonts w:hint="eastAsia" w:ascii="仿宋_GB2312" w:hAnsi="仿宋_GB2312" w:eastAsia="仿宋_GB2312" w:cs="仿宋_GB2312"/>
          <w:sz w:val="32"/>
          <w:szCs w:val="32"/>
        </w:rPr>
        <w:t xml:space="preserve">拟订行政区划管理政策和行政区域界线、地名管理办法，负责全市乡镇以上行政区划设立、命名、撤销、变更和政府驻地迁移审核报批工作，组织并指导全市行政区域界线的勘定、管理工作，调处行政区域边界争议，负责地名管理。 </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szCs w:val="32"/>
        </w:rPr>
      </w:pPr>
      <w:r>
        <w:rPr>
          <w:rFonts w:hint="eastAsia" w:ascii="仿宋_GB2312" w:hAnsi="仿宋_GB2312" w:cs="仿宋_GB2312"/>
          <w:sz w:val="32"/>
          <w:szCs w:val="32"/>
        </w:rPr>
        <w:t>6.</w:t>
      </w:r>
      <w:r>
        <w:rPr>
          <w:rFonts w:hint="eastAsia" w:ascii="仿宋_GB2312" w:hAnsi="仿宋_GB2312" w:eastAsia="仿宋_GB2312" w:cs="仿宋_GB2312"/>
          <w:sz w:val="32"/>
          <w:szCs w:val="32"/>
        </w:rPr>
        <w:t xml:space="preserve">拟订婚姻管理政策并组织实施，指导县（区）婚姻登记工作，推进婚俗改革。 </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szCs w:val="32"/>
        </w:rPr>
      </w:pPr>
      <w:r>
        <w:rPr>
          <w:rFonts w:hint="eastAsia" w:ascii="仿宋_GB2312" w:hAnsi="仿宋_GB2312" w:eastAsia="仿宋_GB2312" w:cs="仿宋_GB2312"/>
          <w:sz w:val="32"/>
          <w:szCs w:val="32"/>
        </w:rPr>
        <w:t>7</w:t>
      </w:r>
      <w:r>
        <w:rPr>
          <w:rFonts w:hint="eastAsia" w:ascii="仿宋_GB2312" w:hAnsi="仿宋_GB2312" w:cs="仿宋_GB2312"/>
          <w:sz w:val="32"/>
          <w:szCs w:val="32"/>
        </w:rPr>
        <w:t>.</w:t>
      </w:r>
      <w:r>
        <w:rPr>
          <w:rFonts w:hint="eastAsia" w:ascii="仿宋_GB2312" w:hAnsi="仿宋_GB2312" w:eastAsia="仿宋_GB2312" w:cs="仿宋_GB2312"/>
          <w:sz w:val="32"/>
          <w:szCs w:val="32"/>
        </w:rPr>
        <w:t xml:space="preserve">拟订殡葬管理政策、服务规范并组织实施，负责殡葬管理工作，推进殡葬改革。 </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szCs w:val="32"/>
        </w:rPr>
      </w:pPr>
      <w:r>
        <w:rPr>
          <w:rFonts w:hint="eastAsia" w:ascii="仿宋_GB2312" w:hAnsi="仿宋_GB2312" w:eastAsia="仿宋_GB2312" w:cs="仿宋_GB2312"/>
          <w:sz w:val="32"/>
          <w:szCs w:val="32"/>
        </w:rPr>
        <w:t>8</w:t>
      </w:r>
      <w:r>
        <w:rPr>
          <w:rFonts w:hint="eastAsia" w:ascii="仿宋_GB2312" w:hAnsi="仿宋_GB2312" w:cs="仿宋_GB2312"/>
          <w:sz w:val="32"/>
          <w:szCs w:val="32"/>
        </w:rPr>
        <w:t>.</w:t>
      </w:r>
      <w:r>
        <w:rPr>
          <w:rFonts w:hint="eastAsia" w:ascii="仿宋_GB2312" w:hAnsi="仿宋_GB2312" w:eastAsia="仿宋_GB2312" w:cs="仿宋_GB2312"/>
          <w:sz w:val="32"/>
          <w:szCs w:val="32"/>
        </w:rPr>
        <w:t xml:space="preserve">拟订社会福利事业发展规划、政策、标准，拟订社会福利机构管理办法并指导实施，执行残疾人权益保护政策并监督实施。负责康复辅助器具行业管理，统筹推进残疾人福利制度建设和康复辅助器具产业发展。 </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szCs w:val="32"/>
        </w:rPr>
      </w:pPr>
      <w:r>
        <w:rPr>
          <w:rFonts w:hint="eastAsia" w:ascii="仿宋_GB2312" w:hAnsi="仿宋_GB2312" w:eastAsia="仿宋_GB2312" w:cs="仿宋_GB2312"/>
          <w:sz w:val="32"/>
          <w:szCs w:val="32"/>
        </w:rPr>
        <w:t>9</w:t>
      </w:r>
      <w:r>
        <w:rPr>
          <w:rFonts w:hint="eastAsia" w:ascii="仿宋_GB2312" w:hAnsi="仿宋_GB2312" w:cs="仿宋_GB2312"/>
          <w:sz w:val="32"/>
          <w:szCs w:val="32"/>
        </w:rPr>
        <w:t>.</w:t>
      </w:r>
      <w:r>
        <w:rPr>
          <w:rFonts w:hint="eastAsia" w:ascii="仿宋_GB2312" w:hAnsi="仿宋_GB2312" w:eastAsia="仿宋_GB2312" w:cs="仿宋_GB2312"/>
          <w:sz w:val="32"/>
          <w:szCs w:val="32"/>
        </w:rPr>
        <w:t>统筹推进、督促指导、监督管理养老服务工作，拟订养老服务体系建设规划、政策、标准并组织实施，承担老年人福利和特殊困难老年人救助工作，协调推进农村留守老年人关爱服务工作，承担城乡老年社会组织管理工作。</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szCs w:val="32"/>
        </w:rPr>
      </w:pPr>
      <w:r>
        <w:rPr>
          <w:rFonts w:hint="eastAsia" w:ascii="仿宋_GB2312" w:hAnsi="仿宋_GB2312" w:eastAsia="仿宋_GB2312" w:cs="仿宋_GB2312"/>
          <w:sz w:val="32"/>
          <w:szCs w:val="32"/>
        </w:rPr>
        <w:t>10</w:t>
      </w:r>
      <w:r>
        <w:rPr>
          <w:rFonts w:hint="eastAsia" w:ascii="仿宋_GB2312" w:hAnsi="仿宋_GB2312" w:cs="仿宋_GB2312"/>
          <w:sz w:val="32"/>
          <w:szCs w:val="32"/>
        </w:rPr>
        <w:t>.</w:t>
      </w:r>
      <w:r>
        <w:rPr>
          <w:rFonts w:hint="eastAsia" w:ascii="仿宋_GB2312" w:hAnsi="仿宋_GB2312" w:eastAsia="仿宋_GB2312" w:cs="仿宋_GB2312"/>
          <w:sz w:val="32"/>
          <w:szCs w:val="32"/>
        </w:rPr>
        <w:t xml:space="preserve">拟订儿童福利、孤弃儿童保障、儿童收养、儿童救助保护政策和标准并组织实施，健全农村留守儿童关爱服务体系和困境儿童保障制度，指导全市儿童收养登记管理工作。 </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szCs w:val="32"/>
        </w:rPr>
      </w:pPr>
      <w:r>
        <w:rPr>
          <w:rFonts w:hint="eastAsia" w:ascii="仿宋_GB2312" w:hAnsi="仿宋_GB2312" w:eastAsia="仿宋_GB2312" w:cs="仿宋_GB2312"/>
          <w:sz w:val="32"/>
          <w:szCs w:val="32"/>
        </w:rPr>
        <w:t>11</w:t>
      </w:r>
      <w:r>
        <w:rPr>
          <w:rFonts w:hint="eastAsia" w:ascii="仿宋_GB2312" w:hAnsi="仿宋_GB2312" w:cs="仿宋_GB2312"/>
          <w:sz w:val="32"/>
          <w:szCs w:val="32"/>
        </w:rPr>
        <w:t>.</w:t>
      </w:r>
      <w:r>
        <w:rPr>
          <w:rFonts w:hint="eastAsia" w:ascii="仿宋_GB2312" w:hAnsi="仿宋_GB2312" w:eastAsia="仿宋_GB2312" w:cs="仿宋_GB2312"/>
          <w:sz w:val="32"/>
          <w:szCs w:val="32"/>
        </w:rPr>
        <w:t xml:space="preserve">组织拟订促进慈善事业发展政策，指导社会捐助工作。负责福利彩票管理工作。 </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szCs w:val="32"/>
        </w:rPr>
      </w:pPr>
      <w:r>
        <w:rPr>
          <w:rFonts w:hint="eastAsia" w:ascii="仿宋_GB2312" w:hAnsi="仿宋_GB2312" w:eastAsia="仿宋_GB2312" w:cs="仿宋_GB2312"/>
          <w:sz w:val="32"/>
          <w:szCs w:val="32"/>
        </w:rPr>
        <w:t>12</w:t>
      </w:r>
      <w:r>
        <w:rPr>
          <w:rFonts w:hint="eastAsia" w:ascii="仿宋_GB2312" w:hAnsi="仿宋_GB2312" w:cs="仿宋_GB2312"/>
          <w:sz w:val="32"/>
          <w:szCs w:val="32"/>
        </w:rPr>
        <w:t>.</w:t>
      </w:r>
      <w:r>
        <w:rPr>
          <w:rFonts w:hint="eastAsia" w:ascii="仿宋_GB2312" w:hAnsi="仿宋_GB2312" w:eastAsia="仿宋_GB2312" w:cs="仿宋_GB2312"/>
          <w:sz w:val="32"/>
          <w:szCs w:val="32"/>
        </w:rPr>
        <w:t xml:space="preserve">拟订社会工作、志愿服务政策和标准，承担本行政区域内志愿服务行政管理工作，会同有关部门推进社会工作人才队伍建设和志愿者队伍建设。 </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szCs w:val="32"/>
        </w:rPr>
      </w:pPr>
      <w:r>
        <w:rPr>
          <w:rFonts w:hint="eastAsia" w:ascii="仿宋_GB2312" w:hAnsi="仿宋_GB2312" w:eastAsia="仿宋_GB2312" w:cs="仿宋_GB2312"/>
          <w:sz w:val="32"/>
          <w:szCs w:val="32"/>
        </w:rPr>
        <w:t>13</w:t>
      </w:r>
      <w:r>
        <w:rPr>
          <w:rFonts w:hint="eastAsia" w:ascii="仿宋_GB2312" w:hAnsi="仿宋_GB2312" w:cs="仿宋_GB2312"/>
          <w:sz w:val="32"/>
          <w:szCs w:val="32"/>
        </w:rPr>
        <w:t>.</w:t>
      </w:r>
      <w:r>
        <w:rPr>
          <w:rFonts w:hint="eastAsia" w:ascii="仿宋_GB2312" w:hAnsi="仿宋_GB2312" w:eastAsia="仿宋_GB2312" w:cs="仿宋_GB2312"/>
          <w:sz w:val="32"/>
          <w:szCs w:val="32"/>
        </w:rPr>
        <w:t>依法依规负责康复辅助器具行业和社会福利、养老服务、殡葬服务、救助管理机构安全生产监督管理工作。负责职责范围内的职业健康、生态环境保护、审批服务便民化等工作。</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szCs w:val="32"/>
        </w:rPr>
      </w:pPr>
      <w:r>
        <w:rPr>
          <w:rFonts w:hint="eastAsia" w:ascii="仿宋_GB2312" w:hAnsi="仿宋_GB2312" w:eastAsia="仿宋_GB2312" w:cs="仿宋_GB2312"/>
          <w:sz w:val="32"/>
          <w:szCs w:val="32"/>
        </w:rPr>
        <w:t>14</w:t>
      </w:r>
      <w:r>
        <w:rPr>
          <w:rFonts w:hint="eastAsia" w:ascii="仿宋_GB2312" w:hAnsi="仿宋_GB2312" w:cs="仿宋_GB2312"/>
          <w:sz w:val="32"/>
          <w:szCs w:val="32"/>
        </w:rPr>
        <w:t>.</w:t>
      </w:r>
      <w:r>
        <w:rPr>
          <w:rFonts w:hint="eastAsia" w:ascii="仿宋_GB2312" w:hAnsi="仿宋_GB2312" w:eastAsia="仿宋_GB2312" w:cs="仿宋_GB2312"/>
          <w:sz w:val="32"/>
          <w:szCs w:val="32"/>
        </w:rPr>
        <w:t xml:space="preserve">负责指导、管理、监督无业务主管单位的全市性社会团体、社会服务机构的党建工作。 </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szCs w:val="32"/>
        </w:rPr>
      </w:pPr>
      <w:r>
        <w:rPr>
          <w:rFonts w:hint="eastAsia" w:ascii="仿宋_GB2312" w:hAnsi="仿宋_GB2312" w:eastAsia="仿宋_GB2312" w:cs="仿宋_GB2312"/>
          <w:sz w:val="32"/>
          <w:szCs w:val="32"/>
        </w:rPr>
        <w:t>15</w:t>
      </w:r>
      <w:r>
        <w:rPr>
          <w:rFonts w:hint="eastAsia" w:ascii="仿宋_GB2312" w:hAnsi="仿宋_GB2312" w:cs="仿宋_GB2312"/>
          <w:sz w:val="32"/>
          <w:szCs w:val="32"/>
        </w:rPr>
        <w:t>.</w:t>
      </w:r>
      <w:r>
        <w:rPr>
          <w:rFonts w:hint="eastAsia" w:ascii="仿宋_GB2312" w:hAnsi="仿宋_GB2312" w:eastAsia="仿宋_GB2312" w:cs="仿宋_GB2312"/>
          <w:sz w:val="32"/>
          <w:szCs w:val="32"/>
        </w:rPr>
        <w:t xml:space="preserve">完成市委、市政府交办的其他任务。 </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szCs w:val="32"/>
        </w:rPr>
      </w:pPr>
      <w:r>
        <w:rPr>
          <w:rFonts w:hint="eastAsia" w:ascii="仿宋_GB2312" w:hAnsi="仿宋_GB2312" w:eastAsia="仿宋_GB2312" w:cs="仿宋_GB2312"/>
          <w:sz w:val="32"/>
          <w:szCs w:val="32"/>
        </w:rPr>
        <w:t>16</w:t>
      </w:r>
      <w:r>
        <w:rPr>
          <w:rFonts w:hint="eastAsia" w:ascii="仿宋_GB2312" w:hAnsi="仿宋_GB2312" w:cs="仿宋_GB2312"/>
          <w:sz w:val="32"/>
          <w:szCs w:val="32"/>
        </w:rPr>
        <w:t>.</w:t>
      </w:r>
      <w:r>
        <w:rPr>
          <w:rFonts w:hint="eastAsia" w:ascii="仿宋_GB2312" w:hAnsi="仿宋_GB2312" w:eastAsia="仿宋_GB2312" w:cs="仿宋_GB2312"/>
          <w:sz w:val="32"/>
          <w:szCs w:val="32"/>
        </w:rPr>
        <w:t>职能转变。市民政局应强化基本民生保障职能，为困难群众、孤老孤残孤儿等特殊群体提供基本社会服务，促进资源向薄弱地区、领域和环节倾斜。积极培育社会组织、社会工作者等多元参与主体，推动搭建基层社会治理和社区公共服务平台。</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kern w:val="0"/>
          <w:szCs w:val="32"/>
          <w:lang w:bidi="ar"/>
        </w:rPr>
      </w:pPr>
      <w:r>
        <w:rPr>
          <w:rFonts w:hint="eastAsia" w:ascii="仿宋_GB2312" w:hAnsi="仿宋_GB2312" w:eastAsia="仿宋_GB2312" w:cs="仿宋_GB2312"/>
          <w:kern w:val="0"/>
          <w:sz w:val="32"/>
          <w:szCs w:val="32"/>
          <w:lang w:bidi="ar"/>
        </w:rPr>
        <w:t>17</w:t>
      </w:r>
      <w:r>
        <w:rPr>
          <w:rFonts w:hint="eastAsia" w:ascii="仿宋_GB2312" w:hAnsi="仿宋_GB2312" w:cs="仿宋_GB2312"/>
          <w:kern w:val="0"/>
          <w:sz w:val="32"/>
          <w:szCs w:val="32"/>
          <w:lang w:bidi="ar"/>
        </w:rPr>
        <w:t>.</w:t>
      </w:r>
      <w:r>
        <w:rPr>
          <w:rFonts w:hint="eastAsia" w:ascii="仿宋_GB2312" w:hAnsi="仿宋_GB2312" w:eastAsia="仿宋_GB2312" w:cs="仿宋_GB2312"/>
          <w:kern w:val="0"/>
          <w:sz w:val="32"/>
          <w:szCs w:val="32"/>
          <w:lang w:bidi="ar"/>
        </w:rPr>
        <w:t>市民政局与市卫生健康委的有关职责分工。市民政局负责统筹推进、督促指导、监督管理养老服务工作，拟订养老服务体系建设规划、地方性法规、政策、标准并组织实施，承担老年人福利和特殊困难老年人救助工作。市卫生健康委负责拟订应对人口老龄化、医养结合政策措施，综合协调、督促指导、组织推进老龄健康事业发展，承担老年疾病防治、老年人医疗照护、老年人心理健康与关怀服务等老年健康工作。</w:t>
      </w:r>
    </w:p>
    <w:p>
      <w:pPr>
        <w:keepNext w:val="0"/>
        <w:keepLines w:val="0"/>
        <w:pageBreakBefore w:val="0"/>
        <w:kinsoku/>
        <w:wordWrap/>
        <w:overflowPunct/>
        <w:topLinePunct w:val="0"/>
        <w:autoSpaceDE/>
        <w:autoSpaceDN/>
        <w:bidi w:val="0"/>
        <w:spacing w:line="576" w:lineRule="exact"/>
        <w:ind w:firstLine="640" w:firstLineChars="200"/>
        <w:textAlignment w:val="auto"/>
        <w:rPr>
          <w:rFonts w:eastAsia="楷体_GB2312"/>
          <w:kern w:val="0"/>
          <w:szCs w:val="32"/>
          <w:shd w:val="clear" w:color="auto" w:fill="FFFFFF"/>
          <w:lang w:val="zh-CN"/>
        </w:rPr>
      </w:pPr>
      <w:r>
        <w:rPr>
          <w:rFonts w:hint="eastAsia" w:ascii="仿宋_GB2312" w:hAnsi="仿宋_GB2312" w:eastAsia="仿宋_GB2312" w:cs="仿宋_GB2312"/>
          <w:kern w:val="0"/>
          <w:sz w:val="32"/>
          <w:szCs w:val="32"/>
          <w:lang w:bidi="ar"/>
        </w:rPr>
        <w:t>18</w:t>
      </w:r>
      <w:r>
        <w:rPr>
          <w:rFonts w:hint="eastAsia" w:ascii="仿宋_GB2312" w:hAnsi="仿宋_GB2312" w:cs="仿宋_GB2312"/>
          <w:kern w:val="0"/>
          <w:sz w:val="32"/>
          <w:szCs w:val="32"/>
          <w:lang w:bidi="ar"/>
        </w:rPr>
        <w:t>.</w:t>
      </w:r>
      <w:r>
        <w:rPr>
          <w:rFonts w:hint="eastAsia" w:ascii="仿宋_GB2312" w:hAnsi="仿宋_GB2312" w:eastAsia="仿宋_GB2312" w:cs="仿宋_GB2312"/>
          <w:kern w:val="0"/>
          <w:sz w:val="32"/>
          <w:szCs w:val="32"/>
          <w:lang w:bidi="ar"/>
        </w:rPr>
        <w:t>市民政局与与市自然资源局的有关职责分工。市民政局会同市自然资源局组织编制公布行政区划信息的广元市行政区划图。</w:t>
      </w:r>
    </w:p>
    <w:p>
      <w:pPr>
        <w:keepNext w:val="0"/>
        <w:keepLines w:val="0"/>
        <w:pageBreakBefore w:val="0"/>
        <w:kinsoku/>
        <w:wordWrap/>
        <w:overflowPunct/>
        <w:topLinePunct w:val="0"/>
        <w:autoSpaceDE/>
        <w:autoSpaceDN/>
        <w:bidi w:val="0"/>
        <w:spacing w:line="576" w:lineRule="exact"/>
        <w:ind w:firstLine="642"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
        </w:rPr>
        <w:t>2</w:t>
      </w:r>
      <w:r>
        <w:rPr>
          <w:rFonts w:hint="eastAsia" w:ascii="仿宋_GB2312" w:hAnsi="仿宋_GB2312" w:eastAsia="仿宋_GB2312" w:cs="仿宋_GB2312"/>
          <w:color w:val="auto"/>
          <w:sz w:val="32"/>
          <w:szCs w:val="32"/>
        </w:rPr>
        <w:t>024年度市民政局编制人数24个，其中行政编制21个（其中：局长1名，副局长3名；正科级领导职数11名（含机关党委专职副书记1名，副科级领导职数5名。机关工勤人员事业编制3名）。年末实有人数28人，其中行政人员24人（含纪检组5人），机关工勤人员4人;纳入本级预决算的事业单位市福利彩票事务中心编制7个，人数5人；市慈善事业和社会事务管理中心编制8个，人数8人；合计42人。</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直属事业单位编制情况：</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市民政局直属事业单位7个，共计128个</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1.广元市社会救助综合服务中心编制数17个，实有14人</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2.广元市社会福利院编制数7个，实有5人</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3.广元市儿童福利院编制数29个，实有26人</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4.广元市救助站编制数53个，实有45人</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5.广元市殡葬管理所编制人数7个，实有7人</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6.广元市老年大学（老年活动中心）编制人数9个，实有8人</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2"/>
          <w:szCs w:val="32"/>
        </w:rPr>
        <w:t>7.广元市老龄工作事务中心编制数6个，实有5人</w:t>
      </w:r>
    </w:p>
    <w:p>
      <w:pPr>
        <w:pStyle w:val="7"/>
        <w:keepNext w:val="0"/>
        <w:keepLines w:val="0"/>
        <w:pageBreakBefore w:val="0"/>
        <w:kinsoku/>
        <w:wordWrap/>
        <w:overflowPunct/>
        <w:topLinePunct w:val="0"/>
        <w:autoSpaceDE/>
        <w:autoSpaceDN/>
        <w:bidi w:val="0"/>
        <w:spacing w:line="576" w:lineRule="exact"/>
        <w:textAlignment w:val="auto"/>
        <w:rPr>
          <w:rFonts w:hint="eastAsia" w:ascii="Calibri" w:hAnsi="Calibri" w:eastAsia="黑体" w:cs="Times New Roman"/>
          <w:color w:val="000000"/>
          <w:kern w:val="0"/>
          <w:sz w:val="32"/>
          <w:szCs w:val="32"/>
          <w:highlight w:val="none"/>
          <w:shd w:val="clear" w:color="auto" w:fill="FFFFFF"/>
          <w:lang w:val="zh-CN" w:eastAsia="zh-CN" w:bidi="ar-SA"/>
        </w:rPr>
      </w:pPr>
      <w:r>
        <w:rPr>
          <w:rFonts w:hint="eastAsia" w:ascii="Calibri" w:hAnsi="Calibri" w:eastAsia="黑体" w:cs="Times New Roman"/>
          <w:color w:val="000000"/>
          <w:kern w:val="0"/>
          <w:sz w:val="32"/>
          <w:szCs w:val="32"/>
          <w:highlight w:val="none"/>
          <w:shd w:val="clear" w:color="auto" w:fill="FFFFFF"/>
          <w:lang w:val="zh-CN" w:eastAsia="zh-CN" w:bidi="ar-SA"/>
        </w:rPr>
        <w:t>二、部门资金收支情况</w:t>
      </w:r>
    </w:p>
    <w:p>
      <w:pPr>
        <w:pStyle w:val="7"/>
        <w:keepNext w:val="0"/>
        <w:keepLines w:val="0"/>
        <w:pageBreakBefore w:val="0"/>
        <w:kinsoku/>
        <w:wordWrap/>
        <w:overflowPunct/>
        <w:topLinePunct w:val="0"/>
        <w:autoSpaceDE/>
        <w:autoSpaceDN/>
        <w:bidi w:val="0"/>
        <w:spacing w:line="576" w:lineRule="exact"/>
        <w:textAlignment w:val="auto"/>
        <w:rPr>
          <w:rFonts w:hint="eastAsia" w:ascii="Times New Roman" w:hAnsi="Times New Roman" w:eastAsia="楷体_GB2312" w:cs="Times New Roman"/>
          <w:b/>
          <w:bCs/>
          <w:color w:val="000000"/>
          <w:kern w:val="0"/>
          <w:sz w:val="32"/>
          <w:szCs w:val="32"/>
          <w:highlight w:val="none"/>
          <w:shd w:val="clear" w:color="auto" w:fill="FFFFFF"/>
          <w:lang w:val="zh-CN" w:eastAsia="zh-CN" w:bidi="ar-SA"/>
        </w:rPr>
      </w:pPr>
      <w:r>
        <w:rPr>
          <w:rFonts w:hint="eastAsia" w:ascii="Times New Roman" w:hAnsi="Times New Roman" w:eastAsia="楷体_GB2312" w:cs="Times New Roman"/>
          <w:b/>
          <w:bCs/>
          <w:color w:val="000000"/>
          <w:kern w:val="0"/>
          <w:sz w:val="32"/>
          <w:szCs w:val="32"/>
          <w:highlight w:val="none"/>
          <w:shd w:val="clear" w:color="auto" w:fill="FFFFFF"/>
          <w:lang w:val="zh-CN" w:eastAsia="zh-CN" w:bidi="ar-SA"/>
        </w:rPr>
        <w:t>（一）收入情况。</w:t>
      </w:r>
    </w:p>
    <w:p>
      <w:pPr>
        <w:pStyle w:val="52"/>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lang w:val="zh-CN"/>
        </w:rPr>
      </w:pPr>
      <w:r>
        <w:rPr>
          <w:rFonts w:hint="eastAsia" w:ascii="仿宋_GB2312" w:hAnsi="仿宋_GB2312" w:eastAsia="仿宋_GB2312" w:cs="仿宋_GB2312"/>
          <w:color w:val="000000"/>
          <w:kern w:val="0"/>
          <w:szCs w:val="32"/>
          <w:shd w:val="clear" w:color="auto" w:fill="FFFFFF"/>
        </w:rPr>
        <w:t>1.年初预算收入情况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广元市民政局2024年部门收入总数10,480.11万元；其中人员经费预算2,878.11万元，公用经费预算293.67万元，项目预算7,308.33万元。</w:t>
      </w:r>
    </w:p>
    <w:p>
      <w:pPr>
        <w:pStyle w:val="49"/>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cs="仿宋_GB2312"/>
          <w:color w:val="000000"/>
          <w:kern w:val="0"/>
          <w:szCs w:val="32"/>
          <w:shd w:val="clear" w:color="auto" w:fill="FFFFFF"/>
        </w:rPr>
      </w:pPr>
      <w:r>
        <w:rPr>
          <w:rFonts w:hint="eastAsia" w:ascii="仿宋_GB2312" w:hAnsi="仿宋_GB2312" w:cs="仿宋_GB2312"/>
          <w:color w:val="000000"/>
          <w:kern w:val="0"/>
          <w:szCs w:val="32"/>
          <w:shd w:val="clear" w:color="auto" w:fill="FFFFFF"/>
        </w:rPr>
        <w:t>2.决算报表收入情况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kern w:val="0"/>
          <w:sz w:val="32"/>
          <w:szCs w:val="32"/>
          <w:shd w:val="clear" w:color="auto" w:fill="FFFFFF"/>
          <w:lang w:val="zh-CN"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广元市民政局2024年部门财政资金决算报表收入总数10,014.69万元，其中人员经费预算2,882.33万元，公用经费预算286.53万元，项目预算6,845.83万元。</w:t>
      </w:r>
    </w:p>
    <w:p>
      <w:pPr>
        <w:pStyle w:val="49"/>
        <w:keepNext w:val="0"/>
        <w:keepLines w:val="0"/>
        <w:pageBreakBefore w:val="0"/>
        <w:widowControl w:val="0"/>
        <w:numPr>
          <w:ilvl w:val="0"/>
          <w:numId w:val="6"/>
        </w:numPr>
        <w:kinsoku/>
        <w:wordWrap/>
        <w:overflowPunct/>
        <w:topLinePunct w:val="0"/>
        <w:autoSpaceDE/>
        <w:autoSpaceDN/>
        <w:bidi w:val="0"/>
        <w:adjustRightInd/>
        <w:snapToGrid/>
        <w:spacing w:line="576" w:lineRule="exact"/>
        <w:ind w:firstLine="642"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支出情况</w:t>
      </w:r>
    </w:p>
    <w:p>
      <w:pPr>
        <w:pStyle w:val="49"/>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ascii="仿宋_GB2312" w:hAnsi="仿宋_GB2312" w:cs="仿宋_GB2312"/>
          <w:kern w:val="0"/>
          <w:szCs w:val="32"/>
          <w:shd w:val="clear" w:color="auto" w:fill="FFFFFF"/>
        </w:rPr>
      </w:pPr>
      <w:r>
        <w:rPr>
          <w:rFonts w:hint="eastAsia" w:ascii="仿宋_GB2312" w:hAnsi="仿宋_GB2312" w:cs="仿宋_GB2312"/>
          <w:color w:val="000000"/>
          <w:kern w:val="0"/>
          <w:szCs w:val="32"/>
          <w:shd w:val="clear" w:color="auto" w:fill="FFFFFF"/>
        </w:rPr>
        <w:t>1.年初预算支出情况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广元市民政局2024年部门财政资金支出总数9,117.95万元：其中人员经费预算2,878.10万元，公用经费预算289.09万元，项目预算5,950.76万元。</w:t>
      </w:r>
    </w:p>
    <w:p>
      <w:pPr>
        <w:pStyle w:val="49"/>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cs="仿宋_GB2312"/>
          <w:color w:val="000000"/>
          <w:kern w:val="0"/>
          <w:szCs w:val="32"/>
          <w:shd w:val="clear" w:color="auto" w:fill="FFFFFF"/>
        </w:rPr>
      </w:pPr>
      <w:r>
        <w:rPr>
          <w:rFonts w:hint="eastAsia" w:ascii="仿宋_GB2312" w:hAnsi="仿宋_GB2312" w:cs="仿宋_GB2312"/>
          <w:color w:val="000000"/>
          <w:kern w:val="0"/>
          <w:szCs w:val="32"/>
          <w:shd w:val="clear" w:color="auto" w:fill="FFFFFF"/>
        </w:rPr>
        <w:t>2.决算报表支出情况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kern w:val="0"/>
          <w:sz w:val="32"/>
          <w:szCs w:val="32"/>
          <w:shd w:val="clear" w:color="auto" w:fill="FFFFFF"/>
          <w:lang w:val="zh-CN"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广元市民政局2024年部门财政资金决算报表支出总数9,819.77万元，其中人员经费预算2,882.33万元，公用经费预算284.86万元，项目预算6,652.59万元。</w:t>
      </w:r>
    </w:p>
    <w:p>
      <w:pPr>
        <w:pStyle w:val="52"/>
        <w:keepNext w:val="0"/>
        <w:keepLines w:val="0"/>
        <w:pageBreakBefore w:val="0"/>
        <w:widowControl w:val="0"/>
        <w:numPr>
          <w:ilvl w:val="0"/>
          <w:numId w:val="6"/>
        </w:numPr>
        <w:kinsoku/>
        <w:wordWrap/>
        <w:overflowPunct/>
        <w:topLinePunct w:val="0"/>
        <w:autoSpaceDE/>
        <w:autoSpaceDN/>
        <w:bidi w:val="0"/>
        <w:adjustRightInd/>
        <w:snapToGrid/>
        <w:spacing w:line="576" w:lineRule="exact"/>
        <w:ind w:left="0" w:leftChars="0" w:firstLine="642"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p>
    <w:p>
      <w:pPr>
        <w:pStyle w:val="5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firstLine="640" w:firstLineChars="200"/>
        <w:textAlignment w:val="auto"/>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广元市民政局202</w:t>
      </w:r>
      <w:r>
        <w:rPr>
          <w:rFonts w:hint="eastAsia" w:ascii="仿宋_GB2312" w:hAnsi="仿宋_GB2312" w:eastAsia="仿宋_GB2312" w:cs="仿宋_GB2312"/>
          <w:color w:val="auto"/>
          <w:szCs w:val="32"/>
          <w:lang w:val="en-US" w:eastAsia="zh-CN"/>
        </w:rPr>
        <w:t>4</w:t>
      </w:r>
      <w:r>
        <w:rPr>
          <w:rFonts w:hint="eastAsia" w:ascii="仿宋_GB2312" w:hAnsi="仿宋_GB2312" w:eastAsia="仿宋_GB2312" w:cs="仿宋_GB2312"/>
          <w:color w:val="auto"/>
          <w:szCs w:val="32"/>
        </w:rPr>
        <w:t>年度部门结转资金</w:t>
      </w:r>
      <w:r>
        <w:rPr>
          <w:rFonts w:hint="eastAsia" w:ascii="仿宋_GB2312" w:hAnsi="仿宋_GB2312" w:eastAsia="仿宋_GB2312" w:cs="仿宋_GB2312"/>
          <w:color w:val="auto"/>
          <w:szCs w:val="32"/>
          <w:lang w:val="en-US" w:eastAsia="zh-CN"/>
        </w:rPr>
        <w:t>193.25</w:t>
      </w:r>
      <w:r>
        <w:rPr>
          <w:rFonts w:hint="eastAsia" w:ascii="仿宋_GB2312" w:hAnsi="仿宋_GB2312" w:eastAsia="仿宋_GB2312" w:cs="仿宋_GB2312"/>
          <w:color w:val="auto"/>
          <w:szCs w:val="32"/>
        </w:rPr>
        <w:t>万元，社会福利院结转资金</w:t>
      </w:r>
      <w:r>
        <w:rPr>
          <w:rFonts w:hint="default" w:ascii="仿宋_GB2312" w:hAnsi="仿宋_GB2312" w:eastAsia="仿宋_GB2312" w:cs="仿宋_GB2312"/>
          <w:color w:val="auto"/>
          <w:szCs w:val="32"/>
          <w:lang w:val="en"/>
        </w:rPr>
        <w:t>193.24</w:t>
      </w:r>
      <w:r>
        <w:rPr>
          <w:rFonts w:hint="eastAsia" w:ascii="仿宋_GB2312" w:hAnsi="仿宋_GB2312" w:eastAsia="仿宋_GB2312" w:cs="仿宋_GB2312"/>
          <w:color w:val="auto"/>
          <w:szCs w:val="32"/>
        </w:rPr>
        <w:t>万元、市儿童福利院结转资金</w:t>
      </w:r>
      <w:r>
        <w:rPr>
          <w:rFonts w:hint="default" w:ascii="仿宋_GB2312" w:hAnsi="仿宋_GB2312" w:eastAsia="仿宋_GB2312" w:cs="仿宋_GB2312"/>
          <w:color w:val="auto"/>
          <w:szCs w:val="32"/>
          <w:lang w:val="en"/>
        </w:rPr>
        <w:t>2.41</w:t>
      </w:r>
      <w:r>
        <w:rPr>
          <w:rFonts w:hint="eastAsia" w:ascii="仿宋_GB2312" w:hAnsi="仿宋_GB2312" w:eastAsia="仿宋_GB2312" w:cs="仿宋_GB2312"/>
          <w:color w:val="auto"/>
          <w:szCs w:val="32"/>
        </w:rPr>
        <w:t>万元。</w:t>
      </w:r>
    </w:p>
    <w:p>
      <w:pPr>
        <w:pStyle w:val="7"/>
        <w:keepNext w:val="0"/>
        <w:keepLines w:val="0"/>
        <w:pageBreakBefore w:val="0"/>
        <w:kinsoku/>
        <w:wordWrap/>
        <w:overflowPunct/>
        <w:topLinePunct w:val="0"/>
        <w:autoSpaceDE/>
        <w:autoSpaceDN/>
        <w:bidi w:val="0"/>
        <w:spacing w:line="576" w:lineRule="exact"/>
        <w:textAlignment w:val="auto"/>
        <w:rPr>
          <w:rFonts w:hint="eastAsia" w:ascii="黑体" w:hAnsi="黑体" w:eastAsia="黑体" w:cs="黑体"/>
        </w:rPr>
      </w:pPr>
      <w:r>
        <w:rPr>
          <w:rFonts w:hint="eastAsia" w:ascii="黑体" w:hAnsi="黑体" w:eastAsia="黑体" w:cs="黑体"/>
        </w:rPr>
        <w:t>三、部门预算绩效分析</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6" w:lineRule="exact"/>
        <w:ind w:firstLine="642"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（一）部门预算总体绩效分析</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履职效能</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从上述三级指标中，我</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lang w:val="zh-CN" w:eastAsia="zh-CN"/>
        </w:rPr>
        <w:t>挑选了以下5个主要指标对职能目标完成效果情况进行绩效分析：</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①临时救助人次数大于等于40次</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绩效分析：</w:t>
      </w: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年，对城乡困难群众因临时性、突发性等原因造成的家庭基本生活出现的暂时困难家庭实施临时救助</w:t>
      </w:r>
      <w:r>
        <w:rPr>
          <w:rFonts w:hint="eastAsia" w:ascii="仿宋_GB2312" w:hAnsi="仿宋_GB2312" w:eastAsia="仿宋_GB2312" w:cs="仿宋_GB2312"/>
          <w:sz w:val="32"/>
          <w:szCs w:val="32"/>
          <w:lang w:val="en-US" w:eastAsia="zh-CN"/>
        </w:rPr>
        <w:t>40</w:t>
      </w:r>
      <w:r>
        <w:rPr>
          <w:rFonts w:hint="default" w:ascii="仿宋_GB2312" w:hAnsi="仿宋_GB2312" w:eastAsia="仿宋_GB2312" w:cs="仿宋_GB2312"/>
          <w:sz w:val="32"/>
          <w:szCs w:val="32"/>
          <w:lang w:val="en-US" w:eastAsia="zh-CN"/>
        </w:rPr>
        <w:t>人次。</w:t>
      </w:r>
      <w:r>
        <w:rPr>
          <w:rFonts w:hint="eastAsia" w:ascii="仿宋_GB2312" w:hAnsi="仿宋_GB2312" w:eastAsia="仿宋_GB2312" w:cs="仿宋_GB2312"/>
          <w:sz w:val="32"/>
          <w:szCs w:val="32"/>
          <w:lang w:val="en-US" w:eastAsia="zh-CN"/>
        </w:rPr>
        <w:t>自评得分为3分</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②开展普法、信访、信用宣传次数大于等于6次</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绩效分析：</w:t>
      </w:r>
      <w:r>
        <w:rPr>
          <w:rFonts w:hint="eastAsia" w:ascii="仿宋_GB2312" w:hAnsi="仿宋_GB2312" w:eastAsia="仿宋_GB2312" w:cs="仿宋_GB2312"/>
          <w:sz w:val="32"/>
          <w:szCs w:val="32"/>
          <w:lang w:val="en-US" w:eastAsia="zh-CN"/>
        </w:rPr>
        <w:t>全年完成6次以上普法、信访、信用宣传</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宣传成效、执法效果、矛盾化解显著</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自评得分为3分</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③救助对象对社会救助实施的满意度</w:t>
      </w:r>
      <w:r>
        <w:rPr>
          <w:rFonts w:hint="eastAsia" w:ascii="仿宋_GB2312" w:hAnsi="仿宋_GB2312" w:eastAsia="仿宋_GB2312" w:cs="仿宋_GB2312"/>
          <w:sz w:val="32"/>
          <w:szCs w:val="32"/>
          <w:lang w:val="zh-CN" w:eastAsia="zh-CN"/>
        </w:rPr>
        <w:t>达到9</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绩效分析：</w:t>
      </w:r>
      <w:r>
        <w:rPr>
          <w:rFonts w:hint="default" w:ascii="仿宋_GB2312" w:hAnsi="仿宋_GB2312" w:eastAsia="仿宋_GB2312" w:cs="仿宋_GB2312"/>
          <w:sz w:val="32"/>
          <w:szCs w:val="32"/>
          <w:lang w:val="en-US" w:eastAsia="zh-CN"/>
        </w:rPr>
        <w:t>通过在全市开展问卷调查，召开人大代表、政协委员、政风行风评议员及社会各界座谈会，积极参加《阳光问政》《阳光政务热线》《政风行风热线》直播节目等方式，问政、问计、问需于民，不断加强和改进社会救助工作。社会救助对象认定准确率达到100%，98%的被调查群众认为救助工作做到了“公平、公正、公开”。干群、邻里之间的关系更加融洽，社会和谐的气氛更加浓厚。</w:t>
      </w:r>
      <w:r>
        <w:rPr>
          <w:rFonts w:hint="eastAsia" w:ascii="仿宋_GB2312" w:hAnsi="仿宋_GB2312" w:eastAsia="仿宋_GB2312" w:cs="仿宋_GB2312"/>
          <w:sz w:val="32"/>
          <w:szCs w:val="32"/>
          <w:lang w:val="en-US" w:eastAsia="zh-CN"/>
        </w:rPr>
        <w:t>自评得分为3分</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④困难群众基本生活救助按时发放率达到90%</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绩效分析：</w:t>
      </w:r>
      <w:r>
        <w:rPr>
          <w:rFonts w:hint="default" w:ascii="仿宋_GB2312" w:hAnsi="仿宋_GB2312" w:eastAsia="仿宋_GB2312" w:cs="仿宋_GB2312"/>
          <w:sz w:val="32"/>
          <w:szCs w:val="32"/>
          <w:lang w:val="en-US" w:eastAsia="zh-CN"/>
        </w:rPr>
        <w:t>临时救助资金严格按照要求，及时拨付到困难群众手中。</w:t>
      </w:r>
      <w:r>
        <w:rPr>
          <w:rFonts w:hint="eastAsia" w:ascii="仿宋_GB2312" w:hAnsi="仿宋_GB2312" w:eastAsia="仿宋_GB2312" w:cs="仿宋_GB2312"/>
          <w:sz w:val="32"/>
          <w:szCs w:val="32"/>
          <w:lang w:val="en-US" w:eastAsia="zh-CN"/>
        </w:rPr>
        <w:t>自评得分为3分</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⑤社会组织行政执法、抽查审计、等级评估大于等于30次</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绩效分析：</w:t>
      </w:r>
      <w:r>
        <w:rPr>
          <w:rFonts w:hint="eastAsia" w:ascii="仿宋_GB2312" w:hAnsi="仿宋_GB2312" w:eastAsia="仿宋_GB2312" w:cs="仿宋_GB2312"/>
          <w:sz w:val="32"/>
          <w:szCs w:val="32"/>
          <w:lang w:val="en-US" w:eastAsia="zh-CN"/>
        </w:rPr>
        <w:t>打击整治非法组织，健全社会组织评估体系，净化社会组织发展环境。自评得分为3分</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通过以上5个指标的绩效分析，</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lang w:val="zh-CN" w:eastAsia="zh-CN"/>
        </w:rPr>
        <w:t>履职效能</w:t>
      </w:r>
      <w:r>
        <w:rPr>
          <w:rFonts w:hint="eastAsia" w:ascii="仿宋_GB2312" w:hAnsi="仿宋_GB2312" w:eastAsia="仿宋_GB2312" w:cs="仿宋_GB2312"/>
          <w:sz w:val="32"/>
          <w:szCs w:val="32"/>
          <w:lang w:val="en-US" w:eastAsia="zh-CN"/>
        </w:rPr>
        <w:t>得分为15分。</w:t>
      </w:r>
      <w:r>
        <w:rPr>
          <w:rFonts w:hint="eastAsia" w:ascii="仿宋_GB2312" w:hAnsi="仿宋_GB2312" w:eastAsia="仿宋_GB2312" w:cs="仿宋_GB2312"/>
          <w:sz w:val="32"/>
          <w:szCs w:val="32"/>
          <w:lang w:val="zh-CN" w:eastAsia="zh-CN"/>
        </w:rPr>
        <w:t>本单位在关爱</w:t>
      </w:r>
      <w:r>
        <w:rPr>
          <w:rFonts w:hint="eastAsia" w:ascii="仿宋_GB2312" w:hAnsi="仿宋_GB2312" w:eastAsia="仿宋_GB2312" w:cs="仿宋_GB2312"/>
          <w:sz w:val="32"/>
          <w:szCs w:val="32"/>
          <w:lang w:val="en-US" w:eastAsia="zh-CN"/>
        </w:rPr>
        <w:t>困难群众</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普法、信访、信用宣传</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困难群众基本生活救助发放</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社会组织行政执法、抽查审计、等级评估</w:t>
      </w:r>
      <w:r>
        <w:rPr>
          <w:rFonts w:hint="eastAsia" w:ascii="仿宋_GB2312" w:hAnsi="仿宋_GB2312" w:eastAsia="仿宋_GB2312" w:cs="仿宋_GB2312"/>
          <w:sz w:val="32"/>
          <w:szCs w:val="32"/>
          <w:lang w:val="zh-CN" w:eastAsia="zh-CN"/>
        </w:rPr>
        <w:t>和</w:t>
      </w:r>
      <w:r>
        <w:rPr>
          <w:rFonts w:hint="eastAsia" w:ascii="仿宋_GB2312" w:hAnsi="仿宋_GB2312" w:eastAsia="仿宋_GB2312" w:cs="仿宋_GB2312"/>
          <w:sz w:val="32"/>
          <w:szCs w:val="32"/>
          <w:lang w:val="en-US" w:eastAsia="zh-CN"/>
        </w:rPr>
        <w:t>救助对象对社会救助实施的满意度</w:t>
      </w:r>
      <w:r>
        <w:rPr>
          <w:rFonts w:hint="eastAsia" w:ascii="仿宋_GB2312" w:hAnsi="仿宋_GB2312" w:eastAsia="仿宋_GB2312" w:cs="仿宋_GB2312"/>
          <w:sz w:val="32"/>
          <w:szCs w:val="32"/>
          <w:lang w:val="zh-CN" w:eastAsia="zh-CN"/>
        </w:rPr>
        <w:t>等方面取得了较好的成效，有助于实现职能目标。</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预算管理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在预算管理方面，我</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lang w:val="zh-CN" w:eastAsia="zh-CN"/>
        </w:rPr>
        <w:t>选取了以下</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个主要指标进行绩效分析：</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①预算编制质量：</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绩效分析：</w:t>
      </w:r>
      <w:r>
        <w:rPr>
          <w:rFonts w:hint="eastAsia" w:ascii="仿宋_GB2312" w:hAnsi="仿宋_GB2312" w:eastAsia="仿宋_GB2312" w:cs="仿宋_GB2312"/>
          <w:sz w:val="32"/>
          <w:szCs w:val="32"/>
          <w:lang w:val="en-US" w:eastAsia="zh-CN"/>
        </w:rPr>
        <w:t>年初预算编制的科学性和准确性无偏离度</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自评得分为8分</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②支出执行进度：</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绩效分析：监控支出执行进度，确保预算资金按照既定计划和进度合理使用，避免资金滞留或超支，</w:t>
      </w:r>
      <w:r>
        <w:rPr>
          <w:rFonts w:hint="eastAsia" w:ascii="仿宋_GB2312" w:hAnsi="仿宋_GB2312" w:eastAsia="仿宋_GB2312" w:cs="仿宋_GB2312"/>
          <w:sz w:val="32"/>
          <w:szCs w:val="32"/>
          <w:lang w:val="en-US" w:eastAsia="zh-CN"/>
        </w:rPr>
        <w:t>自评得分为4.58分</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③预算年终结余：</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绩效分析：通过有效的预算执行和资金管理，确保预算年终结余在合理范围内，既不造成资金浪费，也不影响下一年度的预算执行，</w:t>
      </w:r>
      <w:r>
        <w:rPr>
          <w:rFonts w:hint="eastAsia" w:ascii="仿宋_GB2312" w:hAnsi="仿宋_GB2312" w:eastAsia="仿宋_GB2312" w:cs="仿宋_GB2312"/>
          <w:sz w:val="32"/>
          <w:szCs w:val="32"/>
          <w:lang w:val="en-US" w:eastAsia="zh-CN"/>
        </w:rPr>
        <w:t>自评得分为4分</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④严控一般性支出：</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绩效分析：对</w:t>
      </w:r>
      <w:r>
        <w:rPr>
          <w:rFonts w:hint="eastAsia" w:ascii="仿宋_GB2312" w:hAnsi="仿宋_GB2312" w:eastAsia="仿宋_GB2312" w:cs="仿宋_GB2312"/>
          <w:sz w:val="32"/>
          <w:szCs w:val="32"/>
          <w:lang w:val="en-US" w:eastAsia="zh-CN"/>
        </w:rPr>
        <w:t>“三公”经费</w:t>
      </w:r>
      <w:r>
        <w:rPr>
          <w:rFonts w:hint="eastAsia" w:ascii="仿宋_GB2312" w:hAnsi="仿宋_GB2312" w:eastAsia="仿宋_GB2312" w:cs="仿宋_GB2312"/>
          <w:sz w:val="32"/>
          <w:szCs w:val="32"/>
          <w:lang w:val="zh-CN" w:eastAsia="zh-CN"/>
        </w:rPr>
        <w:t>支出进行严格控制（三公经费较上年减</w:t>
      </w:r>
      <w:r>
        <w:rPr>
          <w:rFonts w:hint="eastAsia" w:ascii="仿宋_GB2312" w:hAnsi="仿宋_GB2312" w:eastAsia="仿宋_GB2312" w:cs="仿宋_GB2312"/>
          <w:sz w:val="32"/>
          <w:szCs w:val="32"/>
          <w:lang w:val="en-US" w:eastAsia="zh-CN"/>
        </w:rPr>
        <w:t>3205</w:t>
      </w:r>
      <w:r>
        <w:rPr>
          <w:rFonts w:hint="eastAsia" w:ascii="仿宋_GB2312" w:hAnsi="仿宋_GB2312" w:eastAsia="仿宋_GB2312" w:cs="仿宋_GB2312"/>
          <w:sz w:val="32"/>
          <w:szCs w:val="32"/>
          <w:lang w:val="zh-CN" w:eastAsia="zh-CN"/>
        </w:rPr>
        <w:t>元）优先保障重点领域和关键项目的资金需求，提高资金使用效率，</w:t>
      </w:r>
      <w:r>
        <w:rPr>
          <w:rFonts w:hint="eastAsia" w:ascii="仿宋_GB2312" w:hAnsi="仿宋_GB2312" w:eastAsia="仿宋_GB2312" w:cs="仿宋_GB2312"/>
          <w:sz w:val="32"/>
          <w:szCs w:val="32"/>
          <w:lang w:val="en-US" w:eastAsia="zh-CN"/>
        </w:rPr>
        <w:t>自评得分为4分</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通过以上</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个指标的绩效分析，</w:t>
      </w:r>
      <w:r>
        <w:rPr>
          <w:rFonts w:hint="eastAsia" w:ascii="仿宋_GB2312" w:hAnsi="仿宋_GB2312" w:eastAsia="仿宋_GB2312" w:cs="仿宋_GB2312"/>
          <w:sz w:val="32"/>
          <w:szCs w:val="32"/>
          <w:lang w:val="en-US" w:eastAsia="zh-CN"/>
        </w:rPr>
        <w:t>在预算管理得分为20.58分。</w:t>
      </w:r>
      <w:r>
        <w:rPr>
          <w:rFonts w:hint="eastAsia" w:ascii="仿宋_GB2312" w:hAnsi="仿宋_GB2312" w:eastAsia="仿宋_GB2312" w:cs="仿宋_GB2312"/>
          <w:sz w:val="32"/>
          <w:szCs w:val="32"/>
          <w:lang w:val="zh-CN" w:eastAsia="zh-CN"/>
        </w:rPr>
        <w:t>单位在</w:t>
      </w:r>
      <w:r>
        <w:rPr>
          <w:rFonts w:hint="eastAsia" w:ascii="仿宋_GB2312" w:hAnsi="仿宋_GB2312" w:eastAsia="仿宋_GB2312" w:cs="仿宋_GB2312"/>
          <w:sz w:val="32"/>
          <w:szCs w:val="32"/>
          <w:lang w:val="en-US" w:eastAsia="zh-CN"/>
        </w:rPr>
        <w:t>预算编制、</w:t>
      </w:r>
      <w:r>
        <w:rPr>
          <w:rFonts w:hint="eastAsia" w:ascii="仿宋_GB2312" w:hAnsi="仿宋_GB2312" w:eastAsia="仿宋_GB2312" w:cs="仿宋_GB2312"/>
          <w:sz w:val="32"/>
          <w:szCs w:val="32"/>
          <w:lang w:val="zh-CN" w:eastAsia="zh-CN"/>
        </w:rPr>
        <w:t>支出执行、预算结余控制和一般性支出控制等方面取得了良好的成效，有助于实现预算管理的目标。</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财务管理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在财务管理方面，我</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lang w:val="zh-CN" w:eastAsia="zh-CN"/>
        </w:rPr>
        <w:t>选取了以下</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个主要指标进行绩效分析：</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①财务管理制度：</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绩效分析：通过建立健全的财务管理制度，确保财务活动的规范性和合规性，提高财务管理的效率和效果，</w:t>
      </w:r>
      <w:r>
        <w:rPr>
          <w:rFonts w:hint="eastAsia" w:ascii="仿宋_GB2312" w:hAnsi="仿宋_GB2312" w:eastAsia="仿宋_GB2312" w:cs="仿宋_GB2312"/>
          <w:sz w:val="32"/>
          <w:szCs w:val="32"/>
          <w:lang w:val="en-US" w:eastAsia="zh-CN"/>
        </w:rPr>
        <w:t>自评得分为4分</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②财务岗位设置：</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绩效分析：优化财务岗位设置，确保岗位设置合理，岗位职责明确，有利于财务工作的顺利开展和财务管理目标的实现，</w:t>
      </w:r>
      <w:r>
        <w:rPr>
          <w:rFonts w:hint="eastAsia" w:ascii="仿宋_GB2312" w:hAnsi="仿宋_GB2312" w:eastAsia="仿宋_GB2312" w:cs="仿宋_GB2312"/>
          <w:sz w:val="32"/>
          <w:szCs w:val="32"/>
          <w:lang w:val="en-US" w:eastAsia="zh-CN"/>
        </w:rPr>
        <w:t>自评得分为2分</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③资金使用规范：</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绩效分析：加强对资金使用的规范管理，确保资金按照预算和计划合理分配和使用，避免资金浪费和违规使用，</w:t>
      </w:r>
      <w:r>
        <w:rPr>
          <w:rFonts w:hint="eastAsia" w:ascii="仿宋_GB2312" w:hAnsi="仿宋_GB2312" w:eastAsia="仿宋_GB2312" w:cs="仿宋_GB2312"/>
          <w:sz w:val="32"/>
          <w:szCs w:val="32"/>
          <w:lang w:val="en-US" w:eastAsia="zh-CN"/>
        </w:rPr>
        <w:t>此项自评得分为4分</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通过以上</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个指标的绩效分析，</w:t>
      </w:r>
      <w:r>
        <w:rPr>
          <w:rFonts w:hint="eastAsia" w:ascii="仿宋_GB2312" w:hAnsi="仿宋_GB2312" w:eastAsia="仿宋_GB2312" w:cs="仿宋_GB2312"/>
          <w:sz w:val="32"/>
          <w:szCs w:val="32"/>
          <w:lang w:val="en-US" w:eastAsia="zh-CN"/>
        </w:rPr>
        <w:t>在财务管理得分为10分。</w:t>
      </w:r>
      <w:r>
        <w:rPr>
          <w:rFonts w:hint="eastAsia" w:ascii="仿宋_GB2312" w:hAnsi="仿宋_GB2312" w:eastAsia="仿宋_GB2312" w:cs="仿宋_GB2312"/>
          <w:sz w:val="32"/>
          <w:szCs w:val="32"/>
          <w:lang w:val="zh-CN" w:eastAsia="zh-CN"/>
        </w:rPr>
        <w:t>单位在制度建设、岗位设置、资金使用规范等方面取得了良好的成效，有助于实现财务管理的目标。</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资产管理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从资产管理的角度，我</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lang w:val="zh-CN" w:eastAsia="zh-CN"/>
        </w:rPr>
        <w:t>选取了以下</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个主要指标进行绩效分析：</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①人均资产变化率：</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绩效分析：通过监控人均资产的变化率，评估资产配置的合理性和效益，确保资产增值与员工人数增长相匹配，</w:t>
      </w:r>
      <w:r>
        <w:rPr>
          <w:rFonts w:hint="eastAsia" w:ascii="仿宋_GB2312" w:hAnsi="仿宋_GB2312" w:eastAsia="仿宋_GB2312" w:cs="仿宋_GB2312"/>
          <w:sz w:val="32"/>
          <w:szCs w:val="32"/>
          <w:lang w:val="en-US" w:eastAsia="zh-CN"/>
        </w:rPr>
        <w:t>此项自评得分为3分</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②资产利用率：</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绩效分析：提高资产利用率，确保资产得到充分利用，减少闲置和浪费，提升资产的整体效益，</w:t>
      </w:r>
      <w:r>
        <w:rPr>
          <w:rFonts w:hint="eastAsia" w:ascii="仿宋_GB2312" w:hAnsi="仿宋_GB2312" w:eastAsia="仿宋_GB2312" w:cs="仿宋_GB2312"/>
          <w:sz w:val="32"/>
          <w:szCs w:val="32"/>
          <w:lang w:val="en-US" w:eastAsia="zh-CN"/>
        </w:rPr>
        <w:t>此项自评得分为3分</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③ 资产盘活率：</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绩效分析：通过资产盘活，激活闲置资产，提高资产的流动性，实现资产价值的最大化，</w:t>
      </w:r>
      <w:r>
        <w:rPr>
          <w:rFonts w:hint="eastAsia" w:ascii="仿宋_GB2312" w:hAnsi="仿宋_GB2312" w:eastAsia="仿宋_GB2312" w:cs="仿宋_GB2312"/>
          <w:sz w:val="32"/>
          <w:szCs w:val="32"/>
          <w:lang w:val="en-US" w:eastAsia="zh-CN"/>
        </w:rPr>
        <w:t>此项自评得分为3分</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通过以上</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个指标的绩效分析，</w:t>
      </w:r>
      <w:r>
        <w:rPr>
          <w:rFonts w:hint="eastAsia" w:ascii="仿宋_GB2312" w:hAnsi="仿宋_GB2312" w:eastAsia="仿宋_GB2312" w:cs="仿宋_GB2312"/>
          <w:sz w:val="32"/>
          <w:szCs w:val="32"/>
          <w:lang w:val="en-US" w:eastAsia="zh-CN"/>
        </w:rPr>
        <w:t>在资产管理得分为9分。</w:t>
      </w:r>
      <w:r>
        <w:rPr>
          <w:rFonts w:hint="eastAsia" w:ascii="仿宋_GB2312" w:hAnsi="仿宋_GB2312" w:eastAsia="仿宋_GB2312" w:cs="仿宋_GB2312"/>
          <w:sz w:val="32"/>
          <w:szCs w:val="32"/>
          <w:lang w:val="zh-CN" w:eastAsia="zh-CN"/>
        </w:rPr>
        <w:t>单位在人均资产变化率、资产利用率、资产盘活率等方面取得了良好的成效，有助于实现资产管理的优化和效益最大化。</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eastAsia="zh-CN"/>
        </w:rPr>
        <w:t>采购管理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从采购管理的角度，我</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lang w:val="zh-CN" w:eastAsia="zh-CN"/>
        </w:rPr>
        <w:t>选取了以下</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个主要指标进行绩效分析：</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① 支持中小企业发展：</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绩效分析：通过采购政策的制定和实施，促进中小企业的发展，增加中小企业的市场份额，提升中小企业在供应链中的地位，</w:t>
      </w:r>
      <w:r>
        <w:rPr>
          <w:rFonts w:hint="eastAsia" w:ascii="仿宋_GB2312" w:hAnsi="仿宋_GB2312" w:eastAsia="仿宋_GB2312" w:cs="仿宋_GB2312"/>
          <w:sz w:val="32"/>
          <w:szCs w:val="32"/>
          <w:lang w:val="en-US" w:eastAsia="zh-CN"/>
        </w:rPr>
        <w:t>此项自评得分为3分</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②采购执行率：</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绩效分析：监控采购计划的执行情况，确保采购活动的按时完成，减少采购延迟和成本超支，提高采购效率，</w:t>
      </w:r>
      <w:r>
        <w:rPr>
          <w:rFonts w:hint="eastAsia" w:ascii="仿宋_GB2312" w:hAnsi="仿宋_GB2312" w:eastAsia="仿宋_GB2312" w:cs="仿宋_GB2312"/>
          <w:sz w:val="32"/>
          <w:szCs w:val="32"/>
          <w:lang w:val="en-US" w:eastAsia="zh-CN"/>
        </w:rPr>
        <w:t>此项自评得分为3分</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通过以上</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个指标的绩效分析，</w:t>
      </w:r>
      <w:r>
        <w:rPr>
          <w:rFonts w:hint="eastAsia" w:ascii="仿宋_GB2312" w:hAnsi="仿宋_GB2312" w:eastAsia="仿宋_GB2312" w:cs="仿宋_GB2312"/>
          <w:sz w:val="32"/>
          <w:szCs w:val="32"/>
          <w:lang w:val="en-US" w:eastAsia="zh-CN"/>
        </w:rPr>
        <w:t>在采购管理得分为6分。单位</w:t>
      </w:r>
      <w:r>
        <w:rPr>
          <w:rFonts w:hint="eastAsia" w:ascii="仿宋_GB2312" w:hAnsi="仿宋_GB2312" w:eastAsia="仿宋_GB2312" w:cs="仿宋_GB2312"/>
          <w:sz w:val="32"/>
          <w:szCs w:val="32"/>
          <w:lang w:val="zh-CN" w:eastAsia="zh-CN"/>
        </w:rPr>
        <w:t>可以看出在采购管理方面，单位在支持中小企业发展、采购执行率等方面取得了良好的成效，有助于实现采购管理的目标。</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通过对</w:t>
      </w:r>
      <w:r>
        <w:rPr>
          <w:rFonts w:hint="eastAsia" w:ascii="仿宋_GB2312" w:hAnsi="仿宋_GB2312" w:eastAsia="仿宋_GB2312" w:cs="仿宋_GB2312"/>
          <w:sz w:val="32"/>
          <w:szCs w:val="32"/>
          <w:lang w:val="zh-CN" w:eastAsia="zh-CN"/>
        </w:rPr>
        <w:t>履职效能、</w:t>
      </w:r>
      <w:r>
        <w:rPr>
          <w:rFonts w:hint="eastAsia" w:ascii="仿宋_GB2312" w:hAnsi="仿宋_GB2312" w:eastAsia="仿宋_GB2312" w:cs="仿宋_GB2312"/>
          <w:sz w:val="32"/>
          <w:szCs w:val="32"/>
          <w:lang w:val="en-US" w:eastAsia="zh-CN"/>
        </w:rPr>
        <w:t>采购管理、财务管理、资产管理、预算管理五个方面综合分析评价，</w:t>
      </w:r>
      <w:r>
        <w:rPr>
          <w:rFonts w:hint="eastAsia" w:ascii="仿宋_GB2312" w:hAnsi="仿宋_GB2312" w:eastAsia="仿宋_GB2312" w:cs="仿宋_GB2312"/>
          <w:sz w:val="32"/>
          <w:szCs w:val="32"/>
          <w:lang w:val="zh-CN" w:eastAsia="zh-CN"/>
        </w:rPr>
        <w:t>部门预算</w:t>
      </w:r>
      <w:r>
        <w:rPr>
          <w:rFonts w:hint="default" w:ascii="仿宋_GB2312" w:hAnsi="仿宋_GB2312" w:eastAsia="仿宋_GB2312" w:cs="仿宋_GB2312"/>
          <w:sz w:val="32"/>
          <w:szCs w:val="32"/>
          <w:lang w:val="zh-CN" w:eastAsia="zh-CN"/>
        </w:rPr>
        <w:t>总体绩效</w:t>
      </w:r>
      <w:r>
        <w:rPr>
          <w:rFonts w:hint="eastAsia" w:ascii="仿宋_GB2312" w:hAnsi="仿宋_GB2312" w:eastAsia="仿宋_GB2312" w:cs="仿宋_GB2312"/>
          <w:sz w:val="32"/>
          <w:szCs w:val="32"/>
          <w:lang w:val="en-US" w:eastAsia="zh-CN"/>
        </w:rPr>
        <w:t>得分为60.58分。充分体现了部门在预算编制、执行和管理过程中的高效与严谨。在此基础上，部门将继续深化预算管理改革，优化资源配置，力争在下一年度实现绩效得分的新突破。同时，部门将紧紧围绕国家发展战略，加大项目监控力度，确保预算资金发挥最大效益，为推动社会经济发展贡献力量。</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6" w:lineRule="exact"/>
        <w:ind w:firstLine="642"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常年项目绩效分析。</w:t>
      </w:r>
      <w:r>
        <w:rPr>
          <w:rFonts w:hint="eastAsia" w:ascii="仿宋_GB2312" w:hAnsi="仿宋_GB2312" w:eastAsia="仿宋_GB2312" w:cs="仿宋_GB2312"/>
          <w:sz w:val="32"/>
          <w:szCs w:val="32"/>
          <w:lang w:val="zh-CN" w:eastAsia="zh-CN"/>
        </w:rPr>
        <w:t>该类项目总数</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lang w:val="zh-CN" w:eastAsia="zh-CN"/>
        </w:rPr>
        <w:t>个，涉及预算总金额</w:t>
      </w:r>
      <w:r>
        <w:rPr>
          <w:rFonts w:hint="eastAsia" w:ascii="仿宋_GB2312" w:hAnsi="仿宋_GB2312" w:eastAsia="仿宋_GB2312" w:cs="仿宋_GB2312"/>
          <w:sz w:val="32"/>
          <w:szCs w:val="32"/>
          <w:lang w:val="en-US" w:eastAsia="zh-CN"/>
        </w:rPr>
        <w:t xml:space="preserve">   3,171.78</w:t>
      </w:r>
      <w:r>
        <w:rPr>
          <w:rFonts w:hint="eastAsia" w:ascii="仿宋_GB2312" w:hAnsi="仿宋_GB2312" w:eastAsia="仿宋_GB2312" w:cs="仿宋_GB2312"/>
          <w:sz w:val="32"/>
          <w:szCs w:val="32"/>
          <w:lang w:val="zh-CN" w:eastAsia="zh-CN"/>
        </w:rPr>
        <w:t>万元，1—1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月预算执行总体进度为</w:t>
      </w:r>
      <w:r>
        <w:rPr>
          <w:rFonts w:hint="eastAsia" w:ascii="仿宋_GB2312" w:hAnsi="仿宋_GB2312" w:eastAsia="仿宋_GB2312" w:cs="仿宋_GB2312"/>
          <w:sz w:val="32"/>
          <w:szCs w:val="32"/>
          <w:lang w:val="en-US" w:eastAsia="zh-CN"/>
        </w:rPr>
        <w:t xml:space="preserve"> 99.86  </w:t>
      </w:r>
      <w:r>
        <w:rPr>
          <w:rFonts w:hint="eastAsia" w:ascii="仿宋_GB2312" w:hAnsi="仿宋_GB2312" w:eastAsia="仿宋_GB2312" w:cs="仿宋_GB2312"/>
          <w:sz w:val="32"/>
          <w:szCs w:val="32"/>
          <w:lang w:val="zh-CN" w:eastAsia="zh-CN"/>
        </w:rPr>
        <w:t>%，其中：预算结余率大于</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zh-CN" w:eastAsia="zh-CN"/>
        </w:rPr>
        <w:t>的项目共计</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个。</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阶段（含一次性）项目绩效分析。</w:t>
      </w:r>
      <w:r>
        <w:rPr>
          <w:rFonts w:hint="eastAsia" w:ascii="仿宋_GB2312" w:hAnsi="仿宋_GB2312" w:eastAsia="仿宋_GB2312" w:cs="仿宋_GB2312"/>
          <w:sz w:val="32"/>
          <w:szCs w:val="32"/>
          <w:lang w:val="zh-CN" w:eastAsia="zh-CN"/>
        </w:rPr>
        <w:t>该类项目总数</w:t>
      </w:r>
      <w:r>
        <w:rPr>
          <w:rFonts w:hint="eastAsia" w:ascii="仿宋_GB2312" w:hAnsi="仿宋_GB2312" w:eastAsia="仿宋_GB2312" w:cs="仿宋_GB2312"/>
          <w:sz w:val="32"/>
          <w:szCs w:val="32"/>
          <w:lang w:val="en-US" w:eastAsia="zh-CN"/>
        </w:rPr>
        <w:t>66</w:t>
      </w:r>
      <w:r>
        <w:rPr>
          <w:rFonts w:hint="eastAsia" w:ascii="仿宋_GB2312" w:hAnsi="仿宋_GB2312" w:eastAsia="仿宋_GB2312" w:cs="仿宋_GB2312"/>
          <w:sz w:val="32"/>
          <w:szCs w:val="32"/>
          <w:lang w:val="zh-CN" w:eastAsia="zh-CN"/>
        </w:rPr>
        <w:t>个，涉及预算总金额</w:t>
      </w:r>
      <w:r>
        <w:rPr>
          <w:rFonts w:hint="eastAsia" w:ascii="仿宋_GB2312" w:hAnsi="仿宋_GB2312" w:eastAsia="仿宋_GB2312" w:cs="仿宋_GB2312"/>
          <w:sz w:val="32"/>
          <w:szCs w:val="32"/>
          <w:lang w:val="en-US" w:eastAsia="zh-CN"/>
        </w:rPr>
        <w:t>7,308.33</w:t>
      </w:r>
      <w:r>
        <w:rPr>
          <w:rFonts w:hint="eastAsia" w:ascii="仿宋_GB2312" w:hAnsi="仿宋_GB2312" w:eastAsia="仿宋_GB2312" w:cs="仿宋_GB2312"/>
          <w:sz w:val="32"/>
          <w:szCs w:val="32"/>
          <w:lang w:val="zh-CN" w:eastAsia="zh-CN"/>
        </w:rPr>
        <w:t>万元，1—1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月预算执行总体进度为</w:t>
      </w:r>
      <w:r>
        <w:rPr>
          <w:rFonts w:hint="eastAsia" w:ascii="仿宋_GB2312" w:hAnsi="仿宋_GB2312" w:eastAsia="仿宋_GB2312" w:cs="仿宋_GB2312"/>
          <w:sz w:val="32"/>
          <w:szCs w:val="32"/>
          <w:lang w:val="en-US" w:eastAsia="zh-CN"/>
        </w:rPr>
        <w:t xml:space="preserve">81.42 </w:t>
      </w:r>
      <w:r>
        <w:rPr>
          <w:rFonts w:hint="eastAsia" w:ascii="仿宋_GB2312" w:hAnsi="仿宋_GB2312" w:eastAsia="仿宋_GB2312" w:cs="仿宋_GB2312"/>
          <w:sz w:val="32"/>
          <w:szCs w:val="32"/>
          <w:lang w:val="zh-CN" w:eastAsia="zh-CN"/>
        </w:rPr>
        <w:t>%，其中：预算结余率大于</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zh-CN" w:eastAsia="zh-CN"/>
        </w:rPr>
        <w:t>的项目共计</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val="zh-CN" w:eastAsia="zh-CN"/>
        </w:rPr>
        <w:t>个。</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项目决策</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zh-CN" w:eastAsia="zh-CN"/>
        </w:rPr>
        <w:t>‌决策程序‌：市级部门在项目决策过程中，遵循了科学、民主、规范的决策程序。所有项目均经过充分调研、论证和专家评审，确保了决策的科学性和合理性。决策过程公开透明，广泛征求了相关部门和利益相关方的意见，增强了决策的民主性和可接受性。</w:t>
      </w:r>
      <w:r>
        <w:rPr>
          <w:rFonts w:hint="eastAsia" w:ascii="仿宋_GB2312" w:hAnsi="仿宋_GB2312" w:eastAsia="仿宋_GB2312" w:cs="仿宋_GB2312"/>
          <w:sz w:val="32"/>
          <w:szCs w:val="32"/>
          <w:lang w:val="en-US" w:eastAsia="zh-CN"/>
        </w:rPr>
        <w:t>得分4分。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‌目标设置‌：项目目标设置明确、具体、可衡量，与部门总体绩效目标和年度工作计划紧密相关</w:t>
      </w:r>
      <w:r>
        <w:rPr>
          <w:rFonts w:hint="eastAsia"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zh-CN" w:eastAsia="zh-CN"/>
        </w:rPr>
        <w:t>目标设定充分考虑了项目的可行性和可持续性，确保了项目目标的合理性和可实现性。</w:t>
      </w:r>
      <w:r>
        <w:rPr>
          <w:rFonts w:hint="eastAsia" w:ascii="仿宋_GB2312" w:hAnsi="仿宋_GB2312" w:eastAsia="仿宋_GB2312" w:cs="仿宋_GB2312"/>
          <w:sz w:val="32"/>
          <w:szCs w:val="32"/>
          <w:lang w:val="en-US" w:eastAsia="zh-CN"/>
        </w:rPr>
        <w:t>得分3分。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zh-CN" w:eastAsia="zh-CN"/>
        </w:rPr>
        <w:t>‌项目入库‌：所有项目均经过严格筛选和评审后纳入项目库管理，项目入库程序规范、标准明确</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并且</w:t>
      </w:r>
      <w:r>
        <w:rPr>
          <w:rFonts w:hint="default" w:ascii="仿宋_GB2312" w:hAnsi="仿宋_GB2312" w:eastAsia="仿宋_GB2312" w:cs="仿宋_GB2312"/>
          <w:sz w:val="32"/>
          <w:szCs w:val="32"/>
          <w:lang w:val="zh-CN" w:eastAsia="zh-CN"/>
        </w:rPr>
        <w:t>项目库动态管理，根据项目实际情况和预算安排进行适时调整和更新，确保了项目库的时效性和准确性。</w:t>
      </w:r>
      <w:r>
        <w:rPr>
          <w:rFonts w:hint="eastAsia" w:ascii="仿宋_GB2312" w:hAnsi="仿宋_GB2312" w:eastAsia="仿宋_GB2312" w:cs="仿宋_GB2312"/>
          <w:sz w:val="32"/>
          <w:szCs w:val="32"/>
          <w:lang w:val="en-US" w:eastAsia="zh-CN"/>
        </w:rPr>
        <w:t>得分4分。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项目决策</w:t>
      </w:r>
      <w:r>
        <w:rPr>
          <w:rFonts w:hint="eastAsia" w:ascii="仿宋_GB2312" w:hAnsi="仿宋_GB2312" w:eastAsia="仿宋_GB2312" w:cs="仿宋_GB2312"/>
          <w:sz w:val="32"/>
          <w:szCs w:val="32"/>
          <w:lang w:val="en-US" w:eastAsia="zh-CN"/>
        </w:rPr>
        <w:t>得分11分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2.项目执行</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‌资金执行同向‌：项目资金执行与项目计划和进度保持一致，资金拨付及时、到位，确保了项目的顺利实施。资金使用过程中，严格按照预算管理和财务管理规定执行，未发现违规使用资金的情况。</w:t>
      </w:r>
      <w:r>
        <w:rPr>
          <w:rFonts w:hint="eastAsia" w:ascii="仿宋_GB2312" w:hAnsi="仿宋_GB2312" w:eastAsia="仿宋_GB2312" w:cs="仿宋_GB2312"/>
          <w:sz w:val="32"/>
          <w:szCs w:val="32"/>
          <w:lang w:val="en-US" w:eastAsia="zh-CN"/>
        </w:rPr>
        <w:t>得分4分。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项目调整‌：在项目执行过程中，如遇特殊情况需对项目进行调整，均按照规定的程序进行报批和备案，确保了项目调整的合规性和科学性。调整后的项目目标和内容更加符合实际情况和需求，增强了项目的针对性和有效性。</w:t>
      </w:r>
      <w:r>
        <w:rPr>
          <w:rFonts w:hint="eastAsia" w:ascii="仿宋_GB2312" w:hAnsi="仿宋_GB2312" w:eastAsia="仿宋_GB2312" w:cs="仿宋_GB2312"/>
          <w:sz w:val="32"/>
          <w:szCs w:val="32"/>
          <w:lang w:val="en-US" w:eastAsia="zh-CN"/>
        </w:rPr>
        <w:t>得分4分。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zh-CN" w:eastAsia="zh-CN"/>
        </w:rPr>
        <w:t>‌执行结果‌：项目执行结果良好，各项目均按照计划完成了预定的目标和任务。项目实施过程中，未发生重大安全和质量事故，项目成果得到了相关部门和利益相关方的认可和好评。</w:t>
      </w:r>
      <w:r>
        <w:rPr>
          <w:rFonts w:hint="eastAsia" w:ascii="仿宋_GB2312" w:hAnsi="仿宋_GB2312" w:eastAsia="仿宋_GB2312" w:cs="仿宋_GB2312"/>
          <w:sz w:val="32"/>
          <w:szCs w:val="32"/>
          <w:lang w:val="en-US" w:eastAsia="zh-CN"/>
        </w:rPr>
        <w:t>得分3分。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zh-CN" w:eastAsia="zh-CN"/>
        </w:rPr>
        <w:t>项目执行</w:t>
      </w:r>
      <w:r>
        <w:rPr>
          <w:rFonts w:hint="eastAsia" w:ascii="仿宋_GB2312" w:hAnsi="仿宋_GB2312" w:eastAsia="仿宋_GB2312" w:cs="仿宋_GB2312"/>
          <w:sz w:val="32"/>
          <w:szCs w:val="32"/>
          <w:lang w:val="en-US" w:eastAsia="zh-CN"/>
        </w:rPr>
        <w:t>得分11分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目标实现</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‌目标完成‌：各部门严格按照设定的绩效目标开展工作，各项绩效指标完成情况良好，大部分目标均已完成或超额完成。特别是核心职能目标，</w:t>
      </w:r>
      <w:r>
        <w:rPr>
          <w:rFonts w:hint="eastAsia" w:ascii="仿宋_GB2312" w:hAnsi="仿宋_GB2312" w:eastAsia="仿宋_GB2312" w:cs="仿宋_GB2312"/>
          <w:sz w:val="32"/>
          <w:szCs w:val="32"/>
          <w:lang w:val="en-US" w:eastAsia="zh-CN"/>
        </w:rPr>
        <w:t>临时救助人次数、养老服务保障养老服务工作</w:t>
      </w:r>
      <w:r>
        <w:rPr>
          <w:rFonts w:hint="default" w:ascii="仿宋_GB2312" w:hAnsi="仿宋_GB2312" w:eastAsia="仿宋_GB2312" w:cs="仿宋_GB2312"/>
          <w:sz w:val="32"/>
          <w:szCs w:val="32"/>
          <w:lang w:val="zh-CN" w:eastAsia="zh-CN"/>
        </w:rPr>
        <w:t>取得了显著成效。</w:t>
      </w:r>
      <w:r>
        <w:rPr>
          <w:rFonts w:hint="eastAsia" w:ascii="仿宋_GB2312" w:hAnsi="仿宋_GB2312" w:eastAsia="仿宋_GB2312" w:cs="仿宋_GB2312"/>
          <w:sz w:val="32"/>
          <w:szCs w:val="32"/>
          <w:lang w:val="en-US" w:eastAsia="zh-CN"/>
        </w:rPr>
        <w:t>得分4分。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‌目标偏离‌：部分项目在执行过程中存在轻微的目标偏离情况，主要是由于外部环境变化或不可抗力因素导致。对于目标偏离的项目，部门及时采取了补救措施和调整方案，确保了项目整体目标的实现。</w:t>
      </w:r>
      <w:r>
        <w:rPr>
          <w:rFonts w:hint="eastAsia" w:ascii="仿宋_GB2312" w:hAnsi="仿宋_GB2312" w:eastAsia="仿宋_GB2312" w:cs="仿宋_GB2312"/>
          <w:sz w:val="32"/>
          <w:szCs w:val="32"/>
          <w:lang w:val="en-US" w:eastAsia="zh-CN"/>
        </w:rPr>
        <w:t>得分3分。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‌实现效果‌：项目实施后，取得了良好的社会效益和经济效益。</w:t>
      </w:r>
      <w:r>
        <w:rPr>
          <w:rFonts w:hint="eastAsia" w:ascii="仿宋_GB2312" w:hAnsi="仿宋_GB2312" w:eastAsia="仿宋_GB2312" w:cs="仿宋_GB2312"/>
          <w:sz w:val="32"/>
          <w:szCs w:val="32"/>
          <w:lang w:val="en-US" w:eastAsia="zh-CN"/>
        </w:rPr>
        <w:t>得分3分。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目标实现</w:t>
      </w:r>
      <w:r>
        <w:rPr>
          <w:rFonts w:hint="eastAsia" w:ascii="仿宋_GB2312" w:hAnsi="仿宋_GB2312" w:eastAsia="仿宋_GB2312" w:cs="仿宋_GB2312"/>
          <w:sz w:val="32"/>
          <w:szCs w:val="32"/>
          <w:lang w:val="en-US" w:eastAsia="zh-CN"/>
        </w:rPr>
        <w:t>得分10分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zh-CN" w:eastAsia="zh-CN"/>
        </w:rPr>
        <w:t>本部门预算项目在各个方面的执行情况均表现出色，项目绩效评分为</w:t>
      </w:r>
      <w:r>
        <w:rPr>
          <w:rFonts w:hint="eastAsia" w:ascii="仿宋_GB2312" w:hAnsi="仿宋_GB2312" w:eastAsia="仿宋_GB2312" w:cs="仿宋_GB2312"/>
          <w:sz w:val="32"/>
          <w:szCs w:val="32"/>
          <w:lang w:val="en-US" w:eastAsia="zh-CN"/>
        </w:rPr>
        <w:t>32</w:t>
      </w:r>
      <w:r>
        <w:rPr>
          <w:rFonts w:hint="default" w:ascii="仿宋_GB2312" w:hAnsi="仿宋_GB2312" w:eastAsia="仿宋_GB2312" w:cs="仿宋_GB2312"/>
          <w:sz w:val="32"/>
          <w:szCs w:val="32"/>
          <w:lang w:val="zh-CN" w:eastAsia="zh-CN"/>
        </w:rPr>
        <w:t>分。这表明项目不仅在数量和质量上达到了预期目标，而且在社会效益、满意度和可持续影响方面也取得了显著成效。我们将继续监控项目进展，确保持续优化和提升项目绩效。</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6" w:lineRule="exact"/>
        <w:ind w:firstLine="642"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（三）绩效结果应用情况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绩效自评纳入考核体系，建立对单位预算与绩效挂钩机制；2024年我单位开展了绩效自评</w:t>
      </w:r>
      <w:r>
        <w:rPr>
          <w:rFonts w:hint="eastAsia" w:ascii="仿宋_GB2312" w:hAnsi="仿宋_GB2312" w:eastAsia="仿宋_GB2312" w:cs="仿宋_GB2312"/>
          <w:sz w:val="32"/>
          <w:szCs w:val="32"/>
          <w:lang w:val="zh-CN" w:eastAsia="zh-CN"/>
        </w:rPr>
        <w:t>，针对绩效管理过程中（包括绩效目标核查、绩效监控核查和重点绩效评价）提出的问题进行整改；按要求及时向财政部门反馈结果应用。我单位将进一步提高管理水平，提高资金绩效。</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评价结论及建议</w:t>
      </w:r>
    </w:p>
    <w:p>
      <w:pPr>
        <w:keepNext w:val="0"/>
        <w:keepLines w:val="0"/>
        <w:pageBreakBefore w:val="0"/>
        <w:widowControl/>
        <w:suppressAutoHyphens/>
        <w:kinsoku/>
        <w:wordWrap/>
        <w:overflowPunct/>
        <w:topLinePunct w:val="0"/>
        <w:autoSpaceDE/>
        <w:autoSpaceDN/>
        <w:bidi w:val="0"/>
        <w:adjustRightInd w:val="0"/>
        <w:snapToGrid w:val="0"/>
        <w:spacing w:line="576" w:lineRule="exact"/>
        <w:ind w:firstLine="642"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2024年，我单位在预算绩效全过程管理方面取得了显著成效。在此基础上，对项目进行了自评：得分为92.58分。我单位主要抓好预算绩效全过程管理，建立全过程预算绩效管理链条。预算编制环节绩效目标管理与预算编制同步，绩效目标完整细化量化并集体决策；预算执行环节实施和费用控制良好，预算执行按照进度执行；决算环节开展事后绩效评价，绩效目标无偏离，对内加强绩效管理和挂钩，对外及时公开绩效信息；按照财政部门要求反馈结果应用，积极配合评价工作。严格开展绩效监控，对绩效目标实现程度和预算执行进度实行“双监控”，努力发挥项目效益，部门整体支出绩效达到预期目标。</w:t>
      </w:r>
    </w:p>
    <w:p>
      <w:pPr>
        <w:keepNext w:val="0"/>
        <w:keepLines w:val="0"/>
        <w:pageBreakBefore w:val="0"/>
        <w:widowControl/>
        <w:suppressAutoHyphens/>
        <w:kinsoku/>
        <w:wordWrap/>
        <w:overflowPunct/>
        <w:topLinePunct w:val="0"/>
        <w:autoSpaceDE/>
        <w:autoSpaceDN/>
        <w:bidi w:val="0"/>
        <w:adjustRightInd w:val="0"/>
        <w:snapToGrid w:val="0"/>
        <w:spacing w:line="576" w:lineRule="exact"/>
        <w:ind w:firstLine="642"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主要是个别项目因各种客观因素未能及时完成。</w:t>
      </w:r>
    </w:p>
    <w:p>
      <w:pPr>
        <w:keepNext w:val="0"/>
        <w:keepLines w:val="0"/>
        <w:pageBreakBefore w:val="0"/>
        <w:widowControl/>
        <w:suppressAutoHyphens/>
        <w:kinsoku/>
        <w:wordWrap/>
        <w:overflowPunct/>
        <w:topLinePunct w:val="0"/>
        <w:autoSpaceDE/>
        <w:autoSpaceDN/>
        <w:bidi w:val="0"/>
        <w:adjustRightInd w:val="0"/>
        <w:snapToGrid w:val="0"/>
        <w:spacing w:line="576" w:lineRule="exact"/>
        <w:ind w:firstLine="642"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e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1.加强预算执行进度管理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项目监控，对绩效目标偏差或不能完成的情况，要认真分析原因，及时采取有针对性的措施予以纠正，必要时应采取暂停项目实施、调整预算等措施及时纠偏，涉及调整项目预算资金和绩效目标的按规定及时向财政部门报批。</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2.注重资金支出的“效果”，提高部门绩效目标的科学性</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针对投资项目，注重效益指标体系的全面性。不仅要注意其社会效益，还必须充分考虑其经济效益，在设置项目社会效益指标时，有很多内容都无法通过定量的指标来说明，因此在条件允许的情况下，可制定能一定程度反映这些问题且能定量的指标，从而促进后续绩效评价决策的有效性。实际中，可结合项目情况，科学选择项目社会效益评价指标。</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注重财政项目的可持续性。主要考虑经济增长的持续性，将人均社会总产值、总量中所占的百分比等作为指标的主要内容；社会的可持续性发展，涵盖总体水平指标；项目效果的持续性，主要关注项目与社会的适应性、发生的社会风险等问题。</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3.加强融合绩效理念</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将绩效理念融入预算编制、执行、评价全过程。部门及单位应在预算编制阶段同步进行绩效编审工作，把绩效目标填报作为预算编制的强制填报选项。建立绩效目标、绩效评价与预算安排挂钩机制，对填报绩效目标不符合要求的项目，不予安排预算；对绩效不高的项目，督促及时整改。</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（2）对绩效水平高的项目，在资金安排上予以倾斜。建立预算绩效评价考核机制，更加注重结果导向、强化责任约束力度，明确具体的考核对象，以改变预算分配的固化格局，提高预算管理水平和实施效果。</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（3）加强预算执行的监控，特别是预算执行进度控制，注重项目开展进度与资金预算支出的匹配。</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4.增强内部控制制度的执行力度，提升项目管理水平 </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建立健全系统、规范、严格的全过程各环节的制度体系。内容涵盖资金项目储备立项、分配执行、组织实施、监督管理、绩效评价、信息公开等，推进资金与项目管理程序化、制度化、法治化，做到立项公开透明、资金分配规范、使用范围明晰、管理监督严格、职责权能统一，形成“制度管人、管钱、管事”的工作格局。</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严格按照内控制度进行管理，严控成本。部门各项资金支出都要本着节约的原则，并且各项开支要有相关的费用标准等依据。应树立监督管理的责任意识，逐步完善相关的专项资金监督管理机制，坚持“谁审批谁负责”、“谁使用谁负责”的原则，加强对资金使用的指导和督促，确保资金使用的效益和安全。</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5.以绩效目标为导向，建立全过程预算绩效管理机制</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牢固树立全过程绩效管理意识，形成“事前绩效目标管理，事中绩效跟踪，事后绩效评价，评价结果得到应用”的全过程绩效管理工作体系。要加强对项目实施主体的日常指导监督，强化对重点项目、重点环节的检查监督，推进项目审计、严把验收关，建立健全绩效评价体系，完善绩效评价指标，适应项目绩效管理综合考核及全过程监管的需求，科学开展绩效评价工作，并健全绩效评价结果反馈整改制度。</w:t>
      </w:r>
    </w:p>
    <w:p>
      <w:pPr>
        <w:pStyle w:val="52"/>
        <w:ind w:firstLine="0" w:firstLineChars="0"/>
        <w:rPr>
          <w:rFonts w:ascii="仿宋_GB2312" w:hAnsi="仿宋_GB2312" w:eastAsia="仿宋_GB2312" w:cs="仿宋_GB2312"/>
          <w:szCs w:val="32"/>
        </w:rPr>
      </w:pPr>
    </w:p>
    <w:p>
      <w:pPr>
        <w:widowControl/>
        <w:adjustRightInd w:val="0"/>
        <w:snapToGrid w:val="0"/>
        <w:spacing w:line="576" w:lineRule="exact"/>
        <w:ind w:firstLine="420" w:firstLineChars="200"/>
        <w:contextualSpacing/>
        <w:jc w:val="left"/>
        <w:rPr>
          <w:rFonts w:ascii="仿宋_GB2312" w:hAnsi="仿宋_GB2312" w:cs="仿宋_GB2312"/>
          <w:kern w:val="0"/>
          <w:szCs w:val="32"/>
          <w:lang w:val="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附表：部门预算项目支出绩效自评表（2024年度）</w:t>
      </w:r>
    </w:p>
    <w:p>
      <w:pPr>
        <w:ind w:firstLine="640" w:firstLineChars="200"/>
        <w:rPr>
          <w:rFonts w:asciiTheme="minorEastAsia" w:hAnsiTheme="minorEastAsia" w:eastAsiaTheme="minorEastAsia"/>
          <w:sz w:val="32"/>
          <w:szCs w:val="32"/>
          <w:lang w:val="zh-CN"/>
        </w:rPr>
      </w:pPr>
      <w:r>
        <w:rPr>
          <w:rFonts w:hint="eastAsia" w:ascii="仿宋_GB2312" w:hAnsi="仿宋_GB2312" w:eastAsia="仿宋_GB2312" w:cs="仿宋_GB2312"/>
          <w:sz w:val="32"/>
          <w:szCs w:val="32"/>
          <w:lang w:val="en-US" w:eastAsia="zh-CN"/>
        </w:rPr>
        <w:t>具体内容见附表</w:t>
      </w:r>
      <w:bookmarkStart w:id="94" w:name="_GoBack"/>
      <w:bookmarkEnd w:id="94"/>
      <w:r>
        <w:rPr>
          <w:color w:val="000000"/>
          <w:kern w:val="0"/>
          <w:szCs w:val="32"/>
          <w:shd w:val="clear" w:color="auto" w:fill="FFFFFF"/>
        </w:rPr>
        <w:br w:type="page"/>
      </w:r>
    </w:p>
    <w:p>
      <w:pPr>
        <w:rPr>
          <w:rFonts w:ascii="黑体" w:hAnsi="黑体" w:eastAsia="黑体"/>
          <w:sz w:val="32"/>
          <w:szCs w:val="32"/>
        </w:rPr>
      </w:pPr>
    </w:p>
    <w:p>
      <w:pPr>
        <w:pStyle w:val="2"/>
        <w:spacing w:before="93"/>
        <w:rPr>
          <w:rFonts w:ascii="黑体" w:hAnsi="黑体" w:eastAsia="黑体" w:cs="黑体"/>
          <w:sz w:val="32"/>
          <w:szCs w:val="32"/>
        </w:rPr>
      </w:pPr>
      <w:r>
        <w:rPr>
          <w:rFonts w:hint="eastAsia" w:ascii="黑体" w:hAnsi="黑体" w:eastAsia="黑体" w:cs="黑体"/>
          <w:sz w:val="32"/>
          <w:szCs w:val="32"/>
          <w:shd w:val="clear" w:color="auto" w:fill="FFFFFF"/>
          <w:lang w:val="zh-CN"/>
        </w:rPr>
        <w:t>附件</w:t>
      </w:r>
      <w:r>
        <w:rPr>
          <w:rFonts w:hint="eastAsia" w:ascii="黑体" w:hAnsi="黑体" w:eastAsia="黑体" w:cs="黑体"/>
          <w:sz w:val="32"/>
          <w:szCs w:val="32"/>
          <w:shd w:val="clear" w:color="auto" w:fill="FFFFFF"/>
        </w:rPr>
        <w:t>2</w:t>
      </w:r>
    </w:p>
    <w:p>
      <w:pPr>
        <w:pStyle w:val="47"/>
        <w:spacing w:line="578" w:lineRule="exact"/>
        <w:jc w:val="center"/>
        <w:rPr>
          <w:rFonts w:ascii="方正小标宋简体" w:hAnsi="方正小标宋简体" w:eastAsia="方正小标宋简体" w:cs="方正小标宋简体"/>
          <w:color w:val="auto"/>
          <w:kern w:val="2"/>
          <w:sz w:val="44"/>
          <w:szCs w:val="44"/>
          <w:lang w:val="en-US"/>
        </w:rPr>
      </w:pPr>
    </w:p>
    <w:p>
      <w:pPr>
        <w:pStyle w:val="47"/>
        <w:keepNext w:val="0"/>
        <w:keepLines w:val="0"/>
        <w:pageBreakBefore w:val="0"/>
        <w:widowControl w:val="0"/>
        <w:suppressAutoHyphens/>
        <w:kinsoku/>
        <w:wordWrap/>
        <w:overflowPunct/>
        <w:topLinePunct w:val="0"/>
        <w:autoSpaceDE/>
        <w:autoSpaceDN/>
        <w:bidi w:val="0"/>
        <w:spacing w:line="578" w:lineRule="exact"/>
        <w:ind w:left="0" w:leftChars="0"/>
        <w:jc w:val="center"/>
        <w:textAlignment w:val="auto"/>
        <w:rPr>
          <w:rFonts w:hint="default"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一老一小课题研究费</w:t>
      </w:r>
      <w:r>
        <w:rPr>
          <w:rFonts w:hint="default" w:ascii="方正小标宋简体" w:hAnsi="方正小标宋简体" w:eastAsia="方正小标宋简体" w:cs="方正小标宋简体"/>
          <w:color w:val="auto"/>
          <w:kern w:val="2"/>
          <w:sz w:val="44"/>
          <w:szCs w:val="44"/>
          <w:highlight w:val="none"/>
          <w:lang w:val="en-US" w:eastAsia="zh-CN"/>
        </w:rPr>
        <w:t>专项预算绩效自评报告</w:t>
      </w:r>
    </w:p>
    <w:p>
      <w:pPr>
        <w:pStyle w:val="47"/>
        <w:keepNext w:val="0"/>
        <w:keepLines w:val="0"/>
        <w:pageBreakBefore w:val="0"/>
        <w:widowControl w:val="0"/>
        <w:kinsoku/>
        <w:wordWrap/>
        <w:overflowPunct/>
        <w:topLinePunct w:val="0"/>
        <w:autoSpaceDE/>
        <w:autoSpaceDN/>
        <w:bidi w:val="0"/>
        <w:spacing w:line="576" w:lineRule="exact"/>
        <w:ind w:left="0" w:leftChars="0" w:firstLine="640"/>
        <w:jc w:val="center"/>
        <w:textAlignment w:val="auto"/>
        <w:rPr>
          <w:rFonts w:hint="default" w:ascii="Times New Roman" w:hAnsi="Times New Roman" w:cs="Times New Roman"/>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黑体" w:cs="Times New Roman"/>
          <w:b w:val="0"/>
          <w:bCs w:val="0"/>
          <w:color w:val="auto"/>
          <w:sz w:val="32"/>
          <w:szCs w:val="32"/>
          <w:highlight w:val="none"/>
          <w:lang w:val="zh-CN"/>
        </w:rPr>
      </w:pPr>
      <w:r>
        <w:rPr>
          <w:rFonts w:hint="default" w:ascii="Times New Roman" w:hAnsi="Times New Roman" w:eastAsia="黑体" w:cs="Times New Roman"/>
          <w:b w:val="0"/>
          <w:bCs w:val="0"/>
          <w:color w:val="auto"/>
          <w:sz w:val="32"/>
          <w:szCs w:val="32"/>
          <w:highlight w:val="none"/>
        </w:rPr>
        <w:t>一、</w:t>
      </w:r>
      <w:r>
        <w:rPr>
          <w:rFonts w:hint="default" w:ascii="Times New Roman" w:hAnsi="Times New Roman" w:eastAsia="黑体" w:cs="Times New Roman"/>
          <w:b w:val="0"/>
          <w:bCs w:val="0"/>
          <w:color w:val="auto"/>
          <w:sz w:val="32"/>
          <w:szCs w:val="32"/>
          <w:highlight w:val="none"/>
          <w:lang w:val="zh-CN"/>
        </w:rPr>
        <w:t>项目概况</w:t>
      </w:r>
    </w:p>
    <w:p>
      <w:pPr>
        <w:keepNext w:val="0"/>
        <w:keepLines w:val="0"/>
        <w:pageBreakBefore w:val="0"/>
        <w:widowControl/>
        <w:suppressAutoHyphens/>
        <w:kinsoku/>
        <w:wordWrap/>
        <w:overflowPunct/>
        <w:topLinePunct w:val="0"/>
        <w:autoSpaceDE/>
        <w:autoSpaceDN/>
        <w:bidi w:val="0"/>
        <w:adjustRightInd w:val="0"/>
        <w:snapToGrid w:val="0"/>
        <w:spacing w:line="576" w:lineRule="exact"/>
        <w:ind w:firstLine="642"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（一）设立背景及基本情况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项目设立原因及背景</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一老一小课题研究费</w:t>
      </w:r>
      <w:r>
        <w:rPr>
          <w:rFonts w:hint="default" w:ascii="仿宋_GB2312" w:hAnsi="仿宋_GB2312" w:eastAsia="仿宋_GB2312" w:cs="仿宋_GB2312"/>
          <w:sz w:val="32"/>
          <w:szCs w:val="32"/>
          <w:lang w:val="zh-CN" w:eastAsia="zh-CN"/>
        </w:rPr>
        <w:t>设立原因</w:t>
      </w:r>
      <w:r>
        <w:rPr>
          <w:rFonts w:hint="eastAsia" w:ascii="仿宋_GB2312" w:hAnsi="仿宋_GB2312" w:eastAsia="仿宋_GB2312" w:cs="仿宋_GB2312"/>
          <w:sz w:val="32"/>
          <w:szCs w:val="32"/>
          <w:lang w:val="en-US" w:eastAsia="zh-CN"/>
        </w:rPr>
        <w:t>是应对人口老龄化挑战、促进人口均衡发展、满足民生需求。‌</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一老一小课题研究费</w:t>
      </w:r>
      <w:r>
        <w:rPr>
          <w:rFonts w:hint="eastAsia" w:ascii="仿宋_GB2312" w:hAnsi="仿宋_GB2312" w:eastAsia="仿宋_GB2312" w:cs="仿宋_GB2312"/>
          <w:sz w:val="32"/>
          <w:szCs w:val="32"/>
          <w:lang w:val="en-US" w:eastAsia="zh-CN"/>
        </w:rPr>
        <w:t>背景是政策支持党中央、国务院高度重视养老托育工作，出台了一系列政策文件，为课题研究提供了政策依据和支持。</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zh-CN" w:eastAsia="zh-CN"/>
        </w:rPr>
        <w:t>项目立项、资金申报的依据</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zh-CN" w:eastAsia="zh-CN"/>
        </w:rPr>
        <w:t>项目立项依据‌：</w:t>
      </w:r>
      <w:r>
        <w:rPr>
          <w:rFonts w:hint="eastAsia" w:ascii="仿宋_GB2312" w:hAnsi="仿宋_GB2312" w:eastAsia="仿宋_GB2312" w:cs="仿宋_GB2312"/>
          <w:sz w:val="32"/>
          <w:szCs w:val="32"/>
          <w:lang w:val="en-US" w:eastAsia="zh-CN"/>
        </w:rPr>
        <w:t>国家战略部署，地方实施方案的细化落实。</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zh-CN" w:eastAsia="zh-CN"/>
        </w:rPr>
        <w:t>资金申报依据‌：资金申报则根据项目预算和实际需求，按照财政部门的资金管理规定和程序进行。申报过程中，需详细说明项目目的、预期效果、资金需求及使用计划等，以确保资金的合理性和有效性。</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zh-CN" w:eastAsia="zh-CN"/>
        </w:rPr>
        <w:t>项目主要内容</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w:t>
      </w:r>
      <w:r>
        <w:rPr>
          <w:rFonts w:hint="default" w:ascii="仿宋_GB2312" w:hAnsi="仿宋_GB2312" w:eastAsia="仿宋_GB2312" w:cs="仿宋_GB2312"/>
          <w:sz w:val="32"/>
          <w:szCs w:val="32"/>
          <w:lang w:val="en-US" w:eastAsia="zh-CN"/>
        </w:rPr>
        <w:t>内容为</w:t>
      </w:r>
      <w:r>
        <w:rPr>
          <w:rFonts w:hint="default" w:ascii="仿宋_GB2312" w:hAnsi="仿宋_GB2312" w:eastAsia="仿宋_GB2312" w:cs="仿宋_GB2312"/>
          <w:sz w:val="32"/>
          <w:szCs w:val="32"/>
          <w:lang w:val="zh-CN" w:eastAsia="zh-CN"/>
        </w:rPr>
        <w:t>围绕推动人口高质量发展，研究如何更好应对人口老龄化、少子化，不断健全完善养老托育服务体系，加大生育支持政策力度，加快发展优质“一老一小”服务，提出“十五五”时期推动“一老一小”服务保障走在前的总体思路、重点任务和政策举措建议，谋划梳理重大事项和重大项目</w:t>
      </w:r>
      <w:r>
        <w:rPr>
          <w:rFonts w:hint="default" w:ascii="仿宋_GB2312" w:hAnsi="仿宋_GB2312" w:eastAsia="仿宋_GB2312" w:cs="仿宋_GB2312"/>
          <w:sz w:val="32"/>
          <w:szCs w:val="32"/>
          <w:lang w:val="en-US"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zh-CN" w:eastAsia="zh-CN"/>
        </w:rPr>
        <w:t>主管部门职能</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政策制定与规划</w:t>
      </w:r>
      <w:r>
        <w:rPr>
          <w:rFonts w:hint="eastAsia"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zh-CN" w:eastAsia="zh-CN"/>
        </w:rPr>
        <w:t>民政局负责贯彻落实国家关于民政事业方面的法律、法规和政策，起草相关地方性法规草案和政府规章草案，并组织实施</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资金管理与监督</w:t>
      </w:r>
      <w:r>
        <w:rPr>
          <w:rFonts w:hint="eastAsia"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zh-CN" w:eastAsia="zh-CN"/>
        </w:rPr>
        <w:t>民政局负责“一老一小”课题研究费项目的资金管理，包括资金的分配、使用和监督</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项目审批与监管</w:t>
      </w:r>
      <w:r>
        <w:rPr>
          <w:rFonts w:hint="eastAsia"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zh-CN" w:eastAsia="zh-CN"/>
        </w:rPr>
        <w:t>民政局负责对“一老一小”课题研究费项目进行审批，包括项目的立项、评审、公示等环节</w:t>
      </w:r>
      <w:r>
        <w:rPr>
          <w:rFonts w:hint="eastAsia" w:ascii="仿宋_GB2312" w:hAnsi="仿宋_GB2312" w:eastAsia="仿宋_GB2312" w:cs="仿宋_GB2312"/>
          <w:sz w:val="32"/>
          <w:szCs w:val="32"/>
          <w:lang w:val="zh-CN" w:eastAsia="zh-CN"/>
        </w:rPr>
        <w:t>。</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（二）</w:t>
      </w:r>
      <w:r>
        <w:rPr>
          <w:rFonts w:hint="default" w:ascii="楷体_GB2312" w:hAnsi="宋体" w:eastAsia="楷体_GB2312" w:cs="Times New Roman"/>
          <w:b/>
          <w:color w:val="auto"/>
          <w:sz w:val="32"/>
          <w:szCs w:val="32"/>
          <w:highlight w:val="none"/>
          <w:u w:val="none"/>
          <w:lang w:val="en-US" w:eastAsia="zh-CN"/>
        </w:rPr>
        <w:t>实施目的及支持方向</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研究如何更好应对人口老龄化、少子化，不断健全完善养老托育服务体系，加大生育支持政策力度，加快发展优质“一老一小”服务，提出“十五五”时期推动“一老一小”服务保障走在前的总体思路、重点任务和政策举措建议，谋划梳理重大事项和重大项目。</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zh-CN" w:eastAsia="zh-CN"/>
        </w:rPr>
        <w:t>项目预算安排情况，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en-US" w:eastAsia="zh-CN"/>
        </w:rPr>
        <w:t>一老一小课题研究费</w:t>
      </w:r>
      <w:r>
        <w:rPr>
          <w:rFonts w:hint="eastAsia" w:ascii="仿宋_GB2312" w:hAnsi="仿宋_GB2312" w:eastAsia="仿宋_GB2312" w:cs="仿宋_GB2312"/>
          <w:sz w:val="32"/>
          <w:szCs w:val="32"/>
          <w:lang w:val="en-US" w:eastAsia="zh-CN"/>
        </w:rPr>
        <w:t>作</w:t>
      </w:r>
      <w:r>
        <w:rPr>
          <w:rFonts w:hint="default" w:ascii="仿宋_GB2312" w:hAnsi="仿宋_GB2312" w:eastAsia="仿宋_GB2312" w:cs="仿宋_GB2312"/>
          <w:sz w:val="32"/>
          <w:szCs w:val="32"/>
          <w:lang w:val="zh-CN" w:eastAsia="zh-CN"/>
        </w:rPr>
        <w:t>为</w:t>
      </w:r>
      <w:r>
        <w:rPr>
          <w:rFonts w:hint="eastAsia" w:ascii="仿宋_GB2312" w:hAnsi="仿宋_GB2312" w:eastAsia="仿宋_GB2312" w:cs="仿宋_GB2312"/>
          <w:sz w:val="32"/>
          <w:szCs w:val="32"/>
          <w:lang w:val="en-US" w:eastAsia="zh-CN"/>
        </w:rPr>
        <w:t>延续性</w:t>
      </w:r>
      <w:r>
        <w:rPr>
          <w:rFonts w:hint="default" w:ascii="仿宋_GB2312" w:hAnsi="仿宋_GB2312" w:eastAsia="仿宋_GB2312" w:cs="仿宋_GB2312"/>
          <w:sz w:val="32"/>
          <w:szCs w:val="32"/>
          <w:lang w:val="zh-CN" w:eastAsia="zh-CN"/>
        </w:rPr>
        <w:t>项目，项目起止年限</w:t>
      </w:r>
      <w:r>
        <w:rPr>
          <w:rFonts w:hint="eastAsia" w:ascii="仿宋_GB2312" w:hAnsi="仿宋_GB2312" w:eastAsia="仿宋_GB2312" w:cs="仿宋_GB2312"/>
          <w:sz w:val="32"/>
          <w:szCs w:val="32"/>
          <w:lang w:val="en-US" w:eastAsia="zh-CN"/>
        </w:rPr>
        <w:t>长期</w:t>
      </w:r>
      <w:r>
        <w:rPr>
          <w:rFonts w:hint="default" w:ascii="仿宋_GB2312" w:hAnsi="仿宋_GB2312" w:eastAsia="仿宋_GB2312" w:cs="仿宋_GB2312"/>
          <w:sz w:val="32"/>
          <w:szCs w:val="32"/>
          <w:lang w:val="zh-CN" w:eastAsia="zh-CN"/>
        </w:rPr>
        <w:t>，即该项目资金专门用于</w:t>
      </w:r>
      <w:r>
        <w:rPr>
          <w:rFonts w:hint="default" w:ascii="仿宋_GB2312" w:hAnsi="仿宋_GB2312" w:eastAsia="仿宋_GB2312" w:cs="仿宋_GB2312"/>
          <w:sz w:val="32"/>
          <w:szCs w:val="32"/>
          <w:lang w:val="en-US" w:eastAsia="zh-CN"/>
        </w:rPr>
        <w:t>编制课题研究</w:t>
      </w:r>
      <w:r>
        <w:rPr>
          <w:rFonts w:hint="eastAsia" w:ascii="仿宋_GB2312" w:hAnsi="仿宋_GB2312" w:eastAsia="仿宋_GB2312" w:cs="仿宋_GB2312"/>
          <w:sz w:val="32"/>
          <w:szCs w:val="32"/>
          <w:lang w:val="en-US" w:eastAsia="zh-CN"/>
        </w:rPr>
        <w:t>经费</w:t>
      </w:r>
      <w:r>
        <w:rPr>
          <w:rFonts w:hint="default" w:ascii="仿宋_GB2312" w:hAnsi="仿宋_GB2312" w:eastAsia="仿宋_GB2312" w:cs="仿宋_GB2312"/>
          <w:sz w:val="32"/>
          <w:szCs w:val="32"/>
          <w:lang w:val="zh-CN" w:eastAsia="zh-CN"/>
        </w:rPr>
        <w:t>。年度资金总额为</w:t>
      </w:r>
      <w:r>
        <w:rPr>
          <w:rFonts w:hint="eastAsia" w:ascii="仿宋_GB2312" w:hAnsi="仿宋_GB2312" w:eastAsia="仿宋_GB2312" w:cs="仿宋_GB2312"/>
          <w:sz w:val="32"/>
          <w:szCs w:val="32"/>
          <w:lang w:val="en-US" w:eastAsia="zh-CN"/>
        </w:rPr>
        <w:t>3.00</w:t>
      </w:r>
      <w:r>
        <w:rPr>
          <w:rFonts w:hint="default" w:ascii="仿宋_GB2312" w:hAnsi="仿宋_GB2312" w:eastAsia="仿宋_GB2312" w:cs="仿宋_GB2312"/>
          <w:sz w:val="32"/>
          <w:szCs w:val="32"/>
          <w:lang w:val="zh-CN" w:eastAsia="zh-CN"/>
        </w:rPr>
        <w:t>万元，全部来源于财政拨款</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zh-CN" w:eastAsia="zh-CN"/>
        </w:rPr>
        <w:t>项目资金分配原则及考虑因素，</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分配原则‌：遵循公平、公正、公开的原则，确保资金分配透明、合理</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考虑因素‌：</w:t>
      </w:r>
      <w:r>
        <w:rPr>
          <w:rFonts w:hint="default" w:ascii="仿宋_GB2312" w:hAnsi="仿宋_GB2312" w:eastAsia="仿宋_GB2312" w:cs="仿宋_GB2312"/>
          <w:sz w:val="32"/>
          <w:szCs w:val="32"/>
          <w:lang w:val="en-US" w:eastAsia="zh-CN"/>
        </w:rPr>
        <w:t>“十五五”时期加快发展优质“一老一小”服务提供</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工作</w:t>
      </w:r>
      <w:r>
        <w:rPr>
          <w:rFonts w:hint="default" w:ascii="仿宋_GB2312" w:hAnsi="仿宋_GB2312" w:eastAsia="仿宋_GB2312" w:cs="仿宋_GB2312"/>
          <w:sz w:val="32"/>
          <w:szCs w:val="32"/>
          <w:lang w:val="zh-CN" w:eastAsia="zh-CN"/>
        </w:rPr>
        <w:t>的具体形式和内容，以及所需经费的估算</w:t>
      </w:r>
      <w:r>
        <w:rPr>
          <w:rFonts w:hint="eastAsia"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zh-CN" w:eastAsia="zh-CN"/>
        </w:rPr>
        <w:t>市委、市政府的政策导向和资金安排，确保项目资金与相关政策相符。</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zh-CN" w:eastAsia="zh-CN"/>
        </w:rPr>
        <w:t>项目资金分配情况。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分配对象‌：</w:t>
      </w:r>
      <w:r>
        <w:rPr>
          <w:rFonts w:hint="default" w:ascii="仿宋_GB2312" w:hAnsi="仿宋_GB2312" w:eastAsia="仿宋_GB2312" w:cs="仿宋_GB2312"/>
          <w:sz w:val="32"/>
          <w:szCs w:val="32"/>
          <w:lang w:val="en-US" w:eastAsia="zh-CN"/>
        </w:rPr>
        <w:t>一老一小课题研究费</w:t>
      </w:r>
      <w:r>
        <w:rPr>
          <w:rFonts w:hint="default"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分配结果‌：实际完成指标显示，</w:t>
      </w:r>
      <w:r>
        <w:rPr>
          <w:rFonts w:hint="default" w:ascii="仿宋_GB2312" w:hAnsi="仿宋_GB2312" w:eastAsia="仿宋_GB2312" w:cs="仿宋_GB2312"/>
          <w:sz w:val="32"/>
          <w:szCs w:val="32"/>
          <w:lang w:val="en-US" w:eastAsia="zh-CN"/>
        </w:rPr>
        <w:t>编制课题研究成果</w:t>
      </w:r>
      <w:r>
        <w:rPr>
          <w:rFonts w:hint="eastAsia" w:ascii="仿宋_GB2312" w:hAnsi="仿宋_GB2312" w:eastAsia="仿宋_GB2312" w:cs="仿宋_GB2312"/>
          <w:sz w:val="32"/>
          <w:szCs w:val="32"/>
          <w:lang w:val="en-US" w:eastAsia="zh-CN"/>
        </w:rPr>
        <w:t>1套，</w:t>
      </w:r>
      <w:r>
        <w:rPr>
          <w:rFonts w:hint="default" w:ascii="仿宋_GB2312" w:hAnsi="仿宋_GB2312" w:eastAsia="仿宋_GB2312" w:cs="仿宋_GB2312"/>
          <w:sz w:val="32"/>
          <w:szCs w:val="32"/>
          <w:lang w:val="en-US" w:eastAsia="zh-CN"/>
        </w:rPr>
        <w:t>为“十五五”时期加快发展优质“一老一小”服务提供重要参考</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zh-CN" w:eastAsia="zh-CN"/>
        </w:rPr>
        <w:t>表明资金分配基本覆盖了所有符合条件的</w:t>
      </w:r>
      <w:r>
        <w:rPr>
          <w:rFonts w:hint="eastAsia" w:ascii="仿宋_GB2312" w:hAnsi="仿宋_GB2312" w:eastAsia="仿宋_GB2312" w:cs="仿宋_GB2312"/>
          <w:sz w:val="32"/>
          <w:szCs w:val="32"/>
          <w:lang w:val="en-US" w:eastAsia="zh-CN"/>
        </w:rPr>
        <w:t>人员</w:t>
      </w:r>
      <w:r>
        <w:rPr>
          <w:rFonts w:hint="default" w:ascii="仿宋_GB2312" w:hAnsi="仿宋_GB2312" w:eastAsia="仿宋_GB2312" w:cs="仿宋_GB2312"/>
          <w:sz w:val="32"/>
          <w:szCs w:val="32"/>
          <w:lang w:val="zh-CN" w:eastAsia="zh-CN"/>
        </w:rPr>
        <w:t>，说明资金分配得到了及时有效的执行。</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（四）项目绩效目标设置</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zh-CN" w:eastAsia="zh-CN"/>
        </w:rPr>
        <w:t>项目整体</w:t>
      </w:r>
      <w:r>
        <w:rPr>
          <w:rFonts w:hint="eastAsia" w:ascii="仿宋_GB2312" w:hAnsi="仿宋_GB2312" w:eastAsia="仿宋_GB2312" w:cs="仿宋_GB2312"/>
          <w:sz w:val="32"/>
          <w:szCs w:val="32"/>
          <w:lang w:val="en-US" w:eastAsia="zh-CN"/>
        </w:rPr>
        <w:t>绩效指标</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zh-CN" w:eastAsia="zh-CN"/>
        </w:rPr>
        <w:t>该项目为广元市</w:t>
      </w:r>
      <w:r>
        <w:rPr>
          <w:rFonts w:hint="eastAsia" w:ascii="仿宋_GB2312" w:hAnsi="仿宋_GB2312" w:eastAsia="仿宋_GB2312" w:cs="仿宋_GB2312"/>
          <w:sz w:val="32"/>
          <w:szCs w:val="32"/>
          <w:lang w:val="en-US" w:eastAsia="zh-CN"/>
        </w:rPr>
        <w:t>民政局</w:t>
      </w:r>
      <w:r>
        <w:rPr>
          <w:rFonts w:hint="default" w:ascii="仿宋_GB2312" w:hAnsi="仿宋_GB2312" w:eastAsia="仿宋_GB2312" w:cs="仿宋_GB2312"/>
          <w:sz w:val="32"/>
          <w:szCs w:val="32"/>
          <w:lang w:val="zh-CN" w:eastAsia="zh-CN"/>
        </w:rPr>
        <w:t>负责的“</w:t>
      </w:r>
      <w:r>
        <w:rPr>
          <w:rFonts w:hint="default" w:ascii="仿宋_GB2312" w:hAnsi="仿宋_GB2312" w:eastAsia="仿宋_GB2312" w:cs="仿宋_GB2312"/>
          <w:sz w:val="32"/>
          <w:szCs w:val="32"/>
          <w:lang w:val="en-US" w:eastAsia="zh-CN"/>
        </w:rPr>
        <w:t>一老一小课题研究费</w:t>
      </w:r>
      <w:r>
        <w:rPr>
          <w:rFonts w:hint="default" w:ascii="仿宋_GB2312" w:hAnsi="仿宋_GB2312" w:eastAsia="仿宋_GB2312" w:cs="仿宋_GB2312"/>
          <w:sz w:val="32"/>
          <w:szCs w:val="32"/>
          <w:lang w:val="zh-CN" w:eastAsia="zh-CN"/>
        </w:rPr>
        <w:t>”项目，属于部门项目，为</w:t>
      </w:r>
      <w:r>
        <w:rPr>
          <w:rFonts w:hint="eastAsia" w:ascii="仿宋_GB2312" w:hAnsi="仿宋_GB2312" w:eastAsia="仿宋_GB2312" w:cs="仿宋_GB2312"/>
          <w:sz w:val="32"/>
          <w:szCs w:val="32"/>
          <w:lang w:val="en-US" w:eastAsia="zh-CN"/>
        </w:rPr>
        <w:t>延续性</w:t>
      </w:r>
      <w:r>
        <w:rPr>
          <w:rFonts w:hint="default" w:ascii="仿宋_GB2312" w:hAnsi="仿宋_GB2312" w:eastAsia="仿宋_GB2312" w:cs="仿宋_GB2312"/>
          <w:sz w:val="32"/>
          <w:szCs w:val="32"/>
          <w:lang w:val="zh-CN" w:eastAsia="zh-CN"/>
        </w:rPr>
        <w:t>项目，项目周期为</w:t>
      </w:r>
      <w:r>
        <w:rPr>
          <w:rFonts w:hint="eastAsia" w:ascii="仿宋_GB2312" w:hAnsi="仿宋_GB2312" w:eastAsia="仿宋_GB2312" w:cs="仿宋_GB2312"/>
          <w:sz w:val="32"/>
          <w:szCs w:val="32"/>
          <w:lang w:val="en-US" w:eastAsia="zh-CN"/>
        </w:rPr>
        <w:t>长期</w:t>
      </w:r>
      <w:r>
        <w:rPr>
          <w:rFonts w:hint="default" w:ascii="仿宋_GB2312" w:hAnsi="仿宋_GB2312" w:eastAsia="仿宋_GB2312" w:cs="仿宋_GB2312"/>
          <w:sz w:val="32"/>
          <w:szCs w:val="32"/>
          <w:lang w:val="zh-CN" w:eastAsia="zh-CN"/>
        </w:rPr>
        <w:t>。项目资金总额为</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zh-CN" w:eastAsia="zh-CN"/>
        </w:rPr>
        <w:t>万元，全部为财政拨款</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zh-CN" w:eastAsia="zh-CN"/>
        </w:rPr>
        <w:t>具体绩效目标设置情况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数量指标‌：</w:t>
      </w:r>
      <w:r>
        <w:rPr>
          <w:rFonts w:hint="default" w:ascii="仿宋_GB2312" w:hAnsi="仿宋_GB2312" w:eastAsia="仿宋_GB2312" w:cs="仿宋_GB2312"/>
          <w:sz w:val="32"/>
          <w:szCs w:val="32"/>
          <w:lang w:val="en-US" w:eastAsia="zh-CN"/>
        </w:rPr>
        <w:t>编制课题研究成果</w:t>
      </w:r>
      <w:r>
        <w:rPr>
          <w:rFonts w:hint="eastAsia" w:ascii="仿宋_GB2312" w:hAnsi="仿宋_GB2312" w:eastAsia="仿宋_GB2312" w:cs="仿宋_GB2312"/>
          <w:sz w:val="32"/>
          <w:szCs w:val="32"/>
          <w:lang w:val="en-US" w:eastAsia="zh-CN"/>
        </w:rPr>
        <w:t>=1套</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质量指标‌：</w:t>
      </w:r>
      <w:r>
        <w:rPr>
          <w:rFonts w:hint="default" w:ascii="仿宋_GB2312" w:hAnsi="仿宋_GB2312" w:eastAsia="仿宋_GB2312" w:cs="仿宋_GB2312"/>
          <w:sz w:val="32"/>
          <w:szCs w:val="32"/>
          <w:lang w:val="en-US" w:eastAsia="zh-CN"/>
        </w:rPr>
        <w:t>为“十五五”时期加快发展优质“一老一小”服务提供重要参考</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时效指标‌：</w:t>
      </w:r>
      <w:r>
        <w:rPr>
          <w:rFonts w:hint="default" w:ascii="仿宋_GB2312" w:hAnsi="仿宋_GB2312" w:eastAsia="仿宋_GB2312" w:cs="仿宋_GB2312"/>
          <w:sz w:val="32"/>
          <w:szCs w:val="32"/>
          <w:lang w:val="en-US" w:eastAsia="zh-CN"/>
        </w:rPr>
        <w:t>完成时间≥</w:t>
      </w:r>
      <w:r>
        <w:rPr>
          <w:rFonts w:hint="eastAsia" w:ascii="仿宋_GB2312" w:hAnsi="仿宋_GB2312" w:eastAsia="仿宋_GB2312" w:cs="仿宋_GB2312"/>
          <w:sz w:val="32"/>
          <w:szCs w:val="32"/>
          <w:lang w:val="en-US" w:eastAsia="zh-CN"/>
        </w:rPr>
        <w:t>12个月</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社会效益</w:t>
      </w:r>
      <w:r>
        <w:rPr>
          <w:rFonts w:hint="eastAsia" w:ascii="仿宋_GB2312" w:hAnsi="仿宋_GB2312" w:eastAsia="仿宋_GB2312" w:cs="仿宋_GB2312"/>
          <w:sz w:val="32"/>
          <w:szCs w:val="32"/>
          <w:lang w:val="en-US" w:eastAsia="zh-CN"/>
        </w:rPr>
        <w:t>指标</w:t>
      </w:r>
      <w:r>
        <w:rPr>
          <w:rFonts w:hint="default"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en-US" w:eastAsia="zh-CN"/>
        </w:rPr>
        <w:t>一老一小事业持续发展</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服务对象满意度‌：</w:t>
      </w:r>
      <w:r>
        <w:rPr>
          <w:rFonts w:hint="default" w:ascii="仿宋_GB2312" w:hAnsi="仿宋_GB2312" w:eastAsia="仿宋_GB2312" w:cs="仿宋_GB2312"/>
          <w:sz w:val="32"/>
          <w:szCs w:val="32"/>
          <w:lang w:val="en-US" w:eastAsia="zh-CN"/>
        </w:rPr>
        <w:t>一老一小受益者</w:t>
      </w:r>
      <w:r>
        <w:rPr>
          <w:rFonts w:hint="default"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90</w:t>
      </w:r>
      <w:r>
        <w:rPr>
          <w:rFonts w:hint="default"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经济成本‌：</w:t>
      </w:r>
      <w:r>
        <w:rPr>
          <w:rFonts w:hint="default" w:ascii="仿宋_GB2312" w:hAnsi="仿宋_GB2312" w:eastAsia="仿宋_GB2312" w:cs="仿宋_GB2312"/>
          <w:sz w:val="32"/>
          <w:szCs w:val="32"/>
          <w:lang w:val="en-US" w:eastAsia="zh-CN"/>
        </w:rPr>
        <w:t>一老一小课题研究费</w:t>
      </w:r>
      <w:r>
        <w:rPr>
          <w:rFonts w:hint="default"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3万</w:t>
      </w:r>
      <w:r>
        <w:rPr>
          <w:rFonts w:hint="default" w:ascii="仿宋_GB2312" w:hAnsi="仿宋_GB2312" w:eastAsia="仿宋_GB2312" w:cs="仿宋_GB2312"/>
          <w:sz w:val="32"/>
          <w:szCs w:val="32"/>
          <w:lang w:val="zh-CN" w:eastAsia="zh-CN"/>
        </w:rPr>
        <w:t>元</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zh-CN" w:eastAsia="zh-CN"/>
        </w:rPr>
        <w:t>项目自评工作开展情况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zh-CN" w:eastAsia="zh-CN"/>
        </w:rPr>
        <w:t>根据项目自评表的内容，项目自评工作已经按照预定的绩效指标进行了全面的评估。自评结果显示，各项绩效指标均已完成或超额完成，表明项目绩效目标设置合理，执行情况良好。通过自评工作，进一步验证了项目的有效性和可行性，为后续项目的实施提供了有益的参考和借鉴。</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default" w:ascii="Times New Roman" w:hAnsi="Times New Roman" w:eastAsia="黑体" w:cs="Times New Roman"/>
          <w:b w:val="0"/>
          <w:bCs w:val="0"/>
          <w:color w:val="auto"/>
          <w:sz w:val="32"/>
          <w:szCs w:val="32"/>
          <w:highlight w:val="none"/>
          <w:lang w:eastAsia="zh-CN"/>
        </w:rPr>
      </w:pPr>
      <w:r>
        <w:rPr>
          <w:rFonts w:hint="default" w:ascii="Times New Roman" w:hAnsi="Times New Roman" w:eastAsia="黑体" w:cs="Times New Roman"/>
          <w:b w:val="0"/>
          <w:bCs w:val="0"/>
          <w:color w:val="auto"/>
          <w:sz w:val="32"/>
          <w:szCs w:val="32"/>
          <w:highlight w:val="none"/>
        </w:rPr>
        <w:t>二、</w:t>
      </w:r>
      <w:r>
        <w:rPr>
          <w:rFonts w:hint="default" w:ascii="Times New Roman" w:hAnsi="Times New Roman" w:eastAsia="黑体" w:cs="Times New Roman"/>
          <w:b w:val="0"/>
          <w:bCs w:val="0"/>
          <w:color w:val="auto"/>
          <w:sz w:val="32"/>
          <w:szCs w:val="32"/>
          <w:highlight w:val="none"/>
          <w:lang w:eastAsia="zh-CN"/>
        </w:rPr>
        <w:t>评价实施</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rPr>
          <w:rFonts w:hint="default" w:ascii="楷体_GB2312" w:hAnsi="宋体" w:eastAsia="楷体_GB2312" w:cs="Times New Roman"/>
          <w:b/>
          <w:color w:val="auto"/>
          <w:sz w:val="32"/>
          <w:szCs w:val="32"/>
          <w:highlight w:val="none"/>
          <w:u w:val="none"/>
          <w:lang w:val="en-US" w:eastAsia="zh-CN"/>
        </w:rPr>
      </w:pPr>
      <w:r>
        <w:rPr>
          <w:rFonts w:hint="default" w:ascii="楷体_GB2312" w:hAnsi="宋体" w:eastAsia="楷体_GB2312" w:cs="Times New Roman"/>
          <w:b/>
          <w:color w:val="auto"/>
          <w:sz w:val="32"/>
          <w:szCs w:val="32"/>
          <w:highlight w:val="none"/>
          <w:u w:val="none"/>
          <w:lang w:val="zh-CN" w:eastAsia="zh-CN"/>
        </w:rPr>
        <w:t>（一）评价目的</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评价目的旨在通过科学评估政策实施效果，确保财政资金高效利用、人才政策精准落地，并为后续政策优化提供决策依据。</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（二）预设问题及评价重点</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1.预设问题</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政策衔接不畅：养老与托育政策可能存在部门分割或地方执行标准不统一，导致资源分配不合理</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地方配套资金不足：部分地区可能因财政压力难以落实配套资金，影响项目推进</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2.评价重点</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资金分配合理性：是否向欠发达地区、弱势群体倾斜</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资金执行率：拨付进度与使用效率是否达标。</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（三）评价选点</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en-US" w:eastAsia="zh-CN"/>
        </w:rPr>
        <w:t>一老一小课题研究</w:t>
      </w:r>
      <w:r>
        <w:rPr>
          <w:rFonts w:hint="eastAsia" w:ascii="仿宋_GB2312" w:hAnsi="仿宋_GB2312" w:eastAsia="仿宋_GB2312" w:cs="仿宋_GB2312"/>
          <w:sz w:val="32"/>
          <w:szCs w:val="32"/>
          <w:lang w:val="en-US" w:eastAsia="zh-CN"/>
        </w:rPr>
        <w:t>。</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rPr>
          <w:rFonts w:hint="default" w:ascii="楷体_GB2312" w:hAnsi="宋体" w:eastAsia="楷体_GB2312" w:cs="Times New Roman"/>
          <w:b/>
          <w:color w:val="auto"/>
          <w:sz w:val="32"/>
          <w:szCs w:val="32"/>
          <w:highlight w:val="none"/>
          <w:u w:val="none"/>
          <w:lang w:val="en-US" w:eastAsia="zh-CN"/>
        </w:rPr>
      </w:pPr>
      <w:r>
        <w:rPr>
          <w:rFonts w:hint="default" w:ascii="楷体_GB2312" w:hAnsi="宋体" w:eastAsia="楷体_GB2312" w:cs="Times New Roman"/>
          <w:b/>
          <w:color w:val="auto"/>
          <w:sz w:val="32"/>
          <w:szCs w:val="32"/>
          <w:highlight w:val="none"/>
          <w:u w:val="none"/>
          <w:lang w:val="zh-CN" w:eastAsia="zh-CN"/>
        </w:rPr>
        <w:t>（四）评价方法</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此项目</w:t>
      </w:r>
      <w:r>
        <w:rPr>
          <w:rFonts w:hint="eastAsia" w:ascii="仿宋_GB2312" w:hAnsi="仿宋_GB2312" w:eastAsia="仿宋_GB2312" w:cs="仿宋_GB2312"/>
          <w:sz w:val="32"/>
          <w:szCs w:val="32"/>
          <w:lang w:val="zh-CN" w:eastAsia="zh-CN"/>
        </w:rPr>
        <w:t>选取</w:t>
      </w:r>
      <w:r>
        <w:rPr>
          <w:rFonts w:hint="eastAsia" w:ascii="仿宋_GB2312" w:hAnsi="仿宋_GB2312" w:eastAsia="仿宋_GB2312" w:cs="仿宋_GB2312"/>
          <w:sz w:val="32"/>
          <w:szCs w:val="32"/>
          <w:lang w:val="en-US" w:eastAsia="zh-CN"/>
        </w:rPr>
        <w:t>单位自评法</w:t>
      </w:r>
      <w:r>
        <w:rPr>
          <w:rFonts w:hint="eastAsia" w:ascii="仿宋_GB2312" w:hAnsi="仿宋_GB2312" w:eastAsia="仿宋_GB2312" w:cs="仿宋_GB2312"/>
          <w:sz w:val="32"/>
          <w:szCs w:val="32"/>
          <w:lang w:val="zh-CN" w:eastAsia="zh-CN"/>
        </w:rPr>
        <w:t>进行</w:t>
      </w:r>
      <w:r>
        <w:rPr>
          <w:rFonts w:hint="eastAsia" w:ascii="仿宋_GB2312" w:hAnsi="仿宋_GB2312" w:eastAsia="仿宋_GB2312" w:cs="仿宋_GB2312"/>
          <w:sz w:val="32"/>
          <w:szCs w:val="32"/>
          <w:lang w:val="en-US" w:eastAsia="zh-CN"/>
        </w:rPr>
        <w:t>自评。</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rPr>
          <w:rFonts w:hint="default" w:ascii="楷体_GB2312" w:hAnsi="宋体" w:eastAsia="楷体_GB2312" w:cs="Times New Roman"/>
          <w:b/>
          <w:color w:val="auto"/>
          <w:sz w:val="32"/>
          <w:szCs w:val="32"/>
          <w:highlight w:val="none"/>
          <w:u w:val="none"/>
          <w:lang w:val="en-US" w:eastAsia="zh-CN"/>
        </w:rPr>
      </w:pPr>
      <w:r>
        <w:rPr>
          <w:rFonts w:hint="default" w:ascii="楷体_GB2312" w:hAnsi="宋体" w:eastAsia="楷体_GB2312" w:cs="Times New Roman"/>
          <w:b/>
          <w:color w:val="auto"/>
          <w:sz w:val="32"/>
          <w:szCs w:val="32"/>
          <w:highlight w:val="none"/>
          <w:u w:val="none"/>
          <w:lang w:val="zh-CN" w:eastAsia="zh-CN"/>
        </w:rPr>
        <w:t>（五）评价组织</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评价组由以下人员构成：</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评价组人员构成</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）评价组组长：由具备丰富项目管理经验和高级职称的专家担任，负责评价工作的总体指挥和协调。</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）财务</w:t>
      </w:r>
      <w:r>
        <w:rPr>
          <w:rFonts w:hint="eastAsia" w:ascii="仿宋_GB2312" w:hAnsi="仿宋_GB2312" w:eastAsia="仿宋_GB2312" w:cs="仿宋_GB2312"/>
          <w:sz w:val="32"/>
          <w:szCs w:val="32"/>
          <w:lang w:val="en-US" w:eastAsia="zh-CN"/>
        </w:rPr>
        <w:t>管理人员</w:t>
      </w:r>
      <w:r>
        <w:rPr>
          <w:rFonts w:hint="eastAsia" w:ascii="仿宋_GB2312" w:hAnsi="仿宋_GB2312" w:eastAsia="仿宋_GB2312" w:cs="仿宋_GB2312"/>
          <w:sz w:val="32"/>
          <w:szCs w:val="32"/>
          <w:lang w:val="zh-CN" w:eastAsia="zh-CN"/>
        </w:rPr>
        <w:t>：负责审核项目资金使用的合规性、合理性和效益性。</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）项目管理</w:t>
      </w:r>
      <w:r>
        <w:rPr>
          <w:rFonts w:hint="eastAsia" w:ascii="仿宋_GB2312" w:hAnsi="仿宋_GB2312" w:eastAsia="仿宋_GB2312" w:cs="仿宋_GB2312"/>
          <w:sz w:val="32"/>
          <w:szCs w:val="32"/>
          <w:lang w:val="en-US" w:eastAsia="zh-CN"/>
        </w:rPr>
        <w:t>人员</w:t>
      </w:r>
      <w:r>
        <w:rPr>
          <w:rFonts w:hint="eastAsia" w:ascii="仿宋_GB2312" w:hAnsi="仿宋_GB2312" w:eastAsia="仿宋_GB2312" w:cs="仿宋_GB2312"/>
          <w:sz w:val="32"/>
          <w:szCs w:val="32"/>
          <w:lang w:val="zh-CN" w:eastAsia="zh-CN"/>
        </w:rPr>
        <w:t>：负责评估项目实施过程的管理效率、风险控制及进度控制。</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职责分工</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）评价组组长：负责制定评价方案，组织评价组成员开展评价工作，审核评价报告，并对评价结果负责。</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）财务</w:t>
      </w:r>
      <w:r>
        <w:rPr>
          <w:rFonts w:hint="eastAsia" w:ascii="仿宋_GB2312" w:hAnsi="仿宋_GB2312" w:eastAsia="仿宋_GB2312" w:cs="仿宋_GB2312"/>
          <w:sz w:val="32"/>
          <w:szCs w:val="32"/>
          <w:lang w:val="en-US" w:eastAsia="zh-CN"/>
        </w:rPr>
        <w:t>管理人员</w:t>
      </w:r>
      <w:r>
        <w:rPr>
          <w:rFonts w:hint="eastAsia" w:ascii="仿宋_GB2312" w:hAnsi="仿宋_GB2312" w:eastAsia="仿宋_GB2312" w:cs="仿宋_GB2312"/>
          <w:sz w:val="32"/>
          <w:szCs w:val="32"/>
          <w:lang w:val="zh-CN" w:eastAsia="zh-CN"/>
        </w:rPr>
        <w:t>：审查项目财务报表，评估资金使用的效率和效果，提出财务方面的评价意见和建议。</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）项目管理</w:t>
      </w:r>
      <w:r>
        <w:rPr>
          <w:rFonts w:hint="eastAsia" w:ascii="仿宋_GB2312" w:hAnsi="仿宋_GB2312" w:eastAsia="仿宋_GB2312" w:cs="仿宋_GB2312"/>
          <w:sz w:val="32"/>
          <w:szCs w:val="32"/>
          <w:lang w:val="en-US" w:eastAsia="zh-CN"/>
        </w:rPr>
        <w:t>人员</w:t>
      </w:r>
      <w:r>
        <w:rPr>
          <w:rFonts w:hint="eastAsia" w:ascii="仿宋_GB2312" w:hAnsi="仿宋_GB2312" w:eastAsia="仿宋_GB2312" w:cs="仿宋_GB2312"/>
          <w:sz w:val="32"/>
          <w:szCs w:val="32"/>
          <w:lang w:val="zh-CN" w:eastAsia="zh-CN"/>
        </w:rPr>
        <w:t>：审查项目实施方案，评估项目管理流程，识别项目管理中的问题和风险，并提出改进措施。</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通过明确的职责分工，评价组将协同合作，确保</w:t>
      </w:r>
      <w:r>
        <w:rPr>
          <w:rFonts w:hint="default" w:ascii="仿宋_GB2312" w:hAnsi="仿宋_GB2312" w:eastAsia="仿宋_GB2312" w:cs="仿宋_GB2312"/>
          <w:sz w:val="32"/>
          <w:szCs w:val="32"/>
          <w:lang w:val="en-US" w:eastAsia="zh-CN"/>
        </w:rPr>
        <w:t>一老一小课题研究</w:t>
      </w:r>
      <w:r>
        <w:rPr>
          <w:rFonts w:hint="eastAsia" w:ascii="仿宋_GB2312" w:hAnsi="仿宋_GB2312" w:eastAsia="仿宋_GB2312" w:cs="仿宋_GB2312"/>
          <w:sz w:val="32"/>
          <w:szCs w:val="32"/>
          <w:lang w:val="zh-CN" w:eastAsia="zh-CN"/>
        </w:rPr>
        <w:t>项目评价工作的科学性、公正性和有效性。</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楷体_GB2312" w:cs="Times New Roman"/>
          <w:b w:val="0"/>
          <w:bCs w:val="0"/>
          <w:color w:val="auto"/>
          <w:sz w:val="32"/>
          <w:szCs w:val="32"/>
          <w:highlight w:val="none"/>
          <w:u w:val="none"/>
          <w:lang w:val="zh-CN"/>
        </w:rPr>
      </w:pPr>
      <w:r>
        <w:rPr>
          <w:rFonts w:hint="default" w:ascii="Times New Roman" w:hAnsi="Times New Roman" w:eastAsia="黑体" w:cs="Times New Roman"/>
          <w:b w:val="0"/>
          <w:bCs w:val="0"/>
          <w:color w:val="auto"/>
          <w:sz w:val="32"/>
          <w:szCs w:val="32"/>
          <w:highlight w:val="none"/>
          <w:u w:val="none"/>
        </w:rPr>
        <w:t>三、</w:t>
      </w:r>
      <w:r>
        <w:rPr>
          <w:rFonts w:hint="default" w:ascii="Times New Roman" w:hAnsi="Times New Roman" w:eastAsia="黑体" w:cs="Times New Roman"/>
          <w:b w:val="0"/>
          <w:bCs w:val="0"/>
          <w:color w:val="auto"/>
          <w:sz w:val="32"/>
          <w:szCs w:val="32"/>
          <w:highlight w:val="none"/>
          <w:u w:val="none"/>
          <w:lang w:eastAsia="zh-CN"/>
        </w:rPr>
        <w:t>绩效分析</w:t>
      </w:r>
      <w:r>
        <w:rPr>
          <w:rFonts w:hint="default" w:ascii="Times New Roman" w:hAnsi="Times New Roman" w:cs="Times New Roman"/>
          <w:b w:val="0"/>
          <w:bCs w:val="0"/>
          <w:color w:val="auto"/>
          <w:sz w:val="32"/>
          <w:szCs w:val="32"/>
          <w:highlight w:val="none"/>
          <w:u w:val="none"/>
          <w:lang w:val="zh-CN"/>
        </w:rPr>
        <w:tab/>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rPr>
          <w:rFonts w:hint="default" w:ascii="楷体_GB2312" w:hAnsi="宋体" w:eastAsia="楷体_GB2312" w:cs="Times New Roman"/>
          <w:b/>
          <w:color w:val="auto"/>
          <w:sz w:val="32"/>
          <w:szCs w:val="32"/>
          <w:highlight w:val="none"/>
          <w:u w:val="none"/>
          <w:lang w:val="en-US" w:eastAsia="zh-CN"/>
        </w:rPr>
      </w:pPr>
      <w:r>
        <w:rPr>
          <w:rFonts w:hint="default" w:ascii="楷体_GB2312" w:hAnsi="宋体" w:eastAsia="楷体_GB2312" w:cs="Times New Roman"/>
          <w:b/>
          <w:color w:val="auto"/>
          <w:sz w:val="32"/>
          <w:szCs w:val="32"/>
          <w:highlight w:val="none"/>
          <w:u w:val="none"/>
          <w:lang w:val="zh-CN" w:eastAsia="zh-CN"/>
        </w:rPr>
        <w:t>（一）</w:t>
      </w:r>
      <w:r>
        <w:rPr>
          <w:rFonts w:hint="default" w:ascii="楷体_GB2312" w:hAnsi="宋体" w:eastAsia="楷体_GB2312" w:cs="Times New Roman"/>
          <w:b/>
          <w:color w:val="auto"/>
          <w:sz w:val="32"/>
          <w:szCs w:val="32"/>
          <w:highlight w:val="none"/>
          <w:u w:val="none"/>
          <w:lang w:val="en-US" w:eastAsia="zh-CN"/>
        </w:rPr>
        <w:t>通用指标</w:t>
      </w:r>
      <w:r>
        <w:rPr>
          <w:rFonts w:hint="default" w:ascii="楷体_GB2312" w:hAnsi="宋体" w:eastAsia="楷体_GB2312" w:cs="Times New Roman"/>
          <w:b/>
          <w:color w:val="auto"/>
          <w:sz w:val="32"/>
          <w:szCs w:val="32"/>
          <w:highlight w:val="none"/>
          <w:u w:val="none"/>
          <w:lang w:val="zh-CN" w:eastAsia="zh-CN"/>
        </w:rPr>
        <w:t>绩效分析。</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项目决策</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①决策程序</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该项目决策程序遵循了相关财政资金管理规定。虽然具体决策流程未在资料中明确列出，但可以推断该决策程序符合政策导向和实际需求，确保了项目的合法性和合规性。得分：6分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②规划论证</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项目虽为阶段项目，但目标清晰，即为做好</w:t>
      </w:r>
      <w:r>
        <w:rPr>
          <w:rFonts w:hint="default" w:ascii="仿宋_GB2312" w:hAnsi="仿宋_GB2312" w:eastAsia="仿宋_GB2312" w:cs="仿宋_GB2312"/>
          <w:sz w:val="32"/>
          <w:szCs w:val="32"/>
          <w:lang w:val="en-US" w:eastAsia="zh-CN"/>
        </w:rPr>
        <w:t>一老一小课题研究</w:t>
      </w:r>
      <w:r>
        <w:rPr>
          <w:rFonts w:hint="eastAsia" w:ascii="仿宋_GB2312" w:hAnsi="仿宋_GB2312" w:eastAsia="仿宋_GB2312" w:cs="仿宋_GB2312"/>
          <w:sz w:val="32"/>
          <w:szCs w:val="32"/>
          <w:lang w:val="en-US" w:eastAsia="zh-CN"/>
        </w:rPr>
        <w:t>工作。资料中未提及具体的规划论证过程，但项目目标明确，与</w:t>
      </w:r>
      <w:r>
        <w:rPr>
          <w:rFonts w:hint="default" w:ascii="仿宋_GB2312" w:hAnsi="仿宋_GB2312" w:eastAsia="仿宋_GB2312" w:cs="仿宋_GB2312"/>
          <w:sz w:val="32"/>
          <w:szCs w:val="32"/>
          <w:lang w:val="en-US" w:eastAsia="zh-CN"/>
        </w:rPr>
        <w:t>一老一小课题研究</w:t>
      </w:r>
      <w:r>
        <w:rPr>
          <w:rFonts w:hint="eastAsia" w:ascii="仿宋_GB2312" w:hAnsi="仿宋_GB2312" w:eastAsia="仿宋_GB2312" w:cs="仿宋_GB2312"/>
          <w:sz w:val="32"/>
          <w:szCs w:val="32"/>
          <w:lang w:val="en-US" w:eastAsia="zh-CN"/>
        </w:rPr>
        <w:t>经费的整体规划和政策要求相契合。得分：6分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③资金投向</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项目资金全部来源于财政拨款，总额为3万元，专门用于</w:t>
      </w:r>
      <w:r>
        <w:rPr>
          <w:rFonts w:hint="default" w:ascii="仿宋_GB2312" w:hAnsi="仿宋_GB2312" w:eastAsia="仿宋_GB2312" w:cs="仿宋_GB2312"/>
          <w:sz w:val="32"/>
          <w:szCs w:val="32"/>
          <w:lang w:val="en-US" w:eastAsia="zh-CN"/>
        </w:rPr>
        <w:t>一老一小课题研究</w:t>
      </w:r>
      <w:r>
        <w:rPr>
          <w:rFonts w:hint="eastAsia" w:ascii="仿宋_GB2312" w:hAnsi="仿宋_GB2312" w:eastAsia="仿宋_GB2312" w:cs="仿宋_GB2312"/>
          <w:sz w:val="32"/>
          <w:szCs w:val="32"/>
          <w:lang w:val="en-US" w:eastAsia="zh-CN"/>
        </w:rPr>
        <w:t>经费。资金投向明确，符合项目规划和政策要求。得分：6分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项目决策绩效得分：18分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项目管理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①制度办法</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资料中未明确提及具体的制度办法，但可以推断项目在实施过程中遵循了广元市委、市政府以及相关部门关于财政资金管理等方面的制度规定。得分：2分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②分配管理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金分配因素选取较为全面的考虑相关行业事业发展实际和发展需求，权重设置有效突出项目实施重点；区域分布结果公平较为合理。资金分配管理遵循了财政资金管理原则，确保了资金的合理分配和有效使用。得分：10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③绩效监管</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虽然具体绩效监管措施未在资料中明确列出，但项目在实施过程中必然接受了相关部门和单位的监督和检查，以确保项目目标的实现和资金的有效使用。得分：6分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项目管理绩效得分：18分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3.项目实施</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①预算执行</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项目资金全部为财政拨款，预算执行情况良好。虽然具体预算执行数据未在资料中明确列出，但根据项目目标和资金总额，以及项目实际完成情况，可以推断预算执行是符合计划要求的。</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得分：6分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②资金使用</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项目资金使用符合规划论证和决策程序的要求，专门用于</w:t>
      </w:r>
      <w:r>
        <w:rPr>
          <w:rFonts w:hint="default" w:ascii="仿宋_GB2312" w:hAnsi="仿宋_GB2312" w:eastAsia="仿宋_GB2312" w:cs="仿宋_GB2312"/>
          <w:sz w:val="32"/>
          <w:szCs w:val="32"/>
          <w:lang w:val="en-US" w:eastAsia="zh-CN"/>
        </w:rPr>
        <w:t>一老一小课题研究</w:t>
      </w:r>
      <w:r>
        <w:rPr>
          <w:rFonts w:hint="eastAsia" w:ascii="仿宋_GB2312" w:hAnsi="仿宋_GB2312" w:eastAsia="仿宋_GB2312" w:cs="仿宋_GB2312"/>
          <w:sz w:val="32"/>
          <w:szCs w:val="32"/>
          <w:lang w:val="en-US" w:eastAsia="zh-CN"/>
        </w:rPr>
        <w:t>经费。资金使用过程中遵循了财政资金管理原则，确保了资金的合规性和有效性。得分：3分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项目实施绩效得分：9分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4.项目结果</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①目标完成</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项目目标完成情况良好。根据资料中的数据，项目实际完成的</w:t>
      </w:r>
      <w:r>
        <w:rPr>
          <w:rFonts w:hint="default" w:ascii="仿宋_GB2312" w:hAnsi="仿宋_GB2312" w:eastAsia="仿宋_GB2312" w:cs="仿宋_GB2312"/>
          <w:sz w:val="32"/>
          <w:szCs w:val="32"/>
          <w:lang w:val="en-US" w:eastAsia="zh-CN"/>
        </w:rPr>
        <w:t>编制课题研究</w:t>
      </w:r>
      <w:r>
        <w:rPr>
          <w:rFonts w:hint="eastAsia" w:ascii="仿宋_GB2312" w:hAnsi="仿宋_GB2312" w:eastAsia="仿宋_GB2312" w:cs="仿宋_GB2312"/>
          <w:sz w:val="32"/>
          <w:szCs w:val="32"/>
          <w:lang w:val="en-US" w:eastAsia="zh-CN"/>
        </w:rPr>
        <w:t>1套，</w:t>
      </w:r>
      <w:r>
        <w:rPr>
          <w:rFonts w:hint="default" w:ascii="仿宋_GB2312" w:hAnsi="仿宋_GB2312" w:eastAsia="仿宋_GB2312" w:cs="仿宋_GB2312"/>
          <w:sz w:val="32"/>
          <w:szCs w:val="32"/>
          <w:lang w:val="en-US" w:eastAsia="zh-CN"/>
        </w:rPr>
        <w:t>为“十五五”时期加快发展优质“一老一小”服务提供重要参考</w:t>
      </w:r>
      <w:r>
        <w:rPr>
          <w:rFonts w:hint="eastAsia" w:ascii="仿宋_GB2312" w:hAnsi="仿宋_GB2312" w:eastAsia="仿宋_GB2312" w:cs="仿宋_GB2312"/>
          <w:sz w:val="32"/>
          <w:szCs w:val="32"/>
          <w:lang w:val="en-US" w:eastAsia="zh-CN"/>
        </w:rPr>
        <w:t>等指标均超过了预期目标值。</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得分：6分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②完成时效</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项目在规定的时间内顺利完成，确保了</w:t>
      </w:r>
      <w:r>
        <w:rPr>
          <w:rFonts w:hint="default" w:ascii="仿宋_GB2312" w:hAnsi="仿宋_GB2312" w:eastAsia="仿宋_GB2312" w:cs="仿宋_GB2312"/>
          <w:sz w:val="32"/>
          <w:szCs w:val="32"/>
          <w:lang w:val="en-US" w:eastAsia="zh-CN"/>
        </w:rPr>
        <w:t>一老一小课题研究</w:t>
      </w:r>
      <w:r>
        <w:rPr>
          <w:rFonts w:hint="eastAsia" w:ascii="仿宋_GB2312" w:hAnsi="仿宋_GB2312" w:eastAsia="仿宋_GB2312" w:cs="仿宋_GB2312"/>
          <w:sz w:val="32"/>
          <w:szCs w:val="32"/>
          <w:lang w:val="en-US" w:eastAsia="zh-CN"/>
        </w:rPr>
        <w:t>。虽然具体完成时效数据未在资料中明确列出，但根据项目目标和实际情况，可以推断项目完成时效是符合要求的。得分：3分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项目结果绩效得分：9分</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rPr>
          <w:rFonts w:hint="default" w:ascii="楷体_GB2312" w:hAnsi="宋体" w:eastAsia="楷体_GB2312" w:cs="Times New Roman"/>
          <w:b/>
          <w:color w:val="auto"/>
          <w:sz w:val="32"/>
          <w:szCs w:val="32"/>
          <w:highlight w:val="none"/>
          <w:u w:val="none"/>
          <w:lang w:val="en-US" w:eastAsia="zh-CN"/>
        </w:rPr>
      </w:pPr>
      <w:r>
        <w:rPr>
          <w:rFonts w:hint="default" w:ascii="楷体_GB2312" w:hAnsi="宋体" w:eastAsia="楷体_GB2312" w:cs="Times New Roman"/>
          <w:b/>
          <w:color w:val="auto"/>
          <w:sz w:val="32"/>
          <w:szCs w:val="32"/>
          <w:highlight w:val="none"/>
          <w:u w:val="none"/>
          <w:lang w:val="zh-CN" w:eastAsia="zh-CN"/>
        </w:rPr>
        <w:t>（二）</w:t>
      </w:r>
      <w:r>
        <w:rPr>
          <w:rFonts w:hint="default" w:ascii="楷体_GB2312" w:hAnsi="宋体" w:eastAsia="楷体_GB2312" w:cs="Times New Roman"/>
          <w:b/>
          <w:color w:val="auto"/>
          <w:sz w:val="32"/>
          <w:szCs w:val="32"/>
          <w:highlight w:val="none"/>
          <w:u w:val="none"/>
          <w:lang w:val="en-US" w:eastAsia="zh-CN"/>
        </w:rPr>
        <w:t>专用指标</w:t>
      </w:r>
      <w:r>
        <w:rPr>
          <w:rFonts w:hint="default" w:ascii="楷体_GB2312" w:hAnsi="宋体" w:eastAsia="楷体_GB2312" w:cs="Times New Roman"/>
          <w:b/>
          <w:color w:val="auto"/>
          <w:sz w:val="32"/>
          <w:szCs w:val="32"/>
          <w:highlight w:val="none"/>
          <w:u w:val="none"/>
          <w:lang w:val="zh-CN" w:eastAsia="zh-CN"/>
        </w:rPr>
        <w:t>绩效分析</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1.产业发展。</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该项目实施符合市委市政府政策支持，但与相关企业成长性、经济性是否有促进作用无关，不对该项指标评分。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民生保障。</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该项目非民生保障项目，不对该项指标评分。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3.基础设施。</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该项目非基础设施项目，不对该项指标评分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行政运转。</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该项目按规定用途、适用范围分配，符合专项资金管理要求，管理程序合规、资金分配标准合规，该指标绩效自评得分</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lang w:val="zh-CN" w:eastAsia="zh-CN"/>
        </w:rPr>
        <w:t>分</w:t>
      </w:r>
    </w:p>
    <w:p>
      <w:pPr>
        <w:pStyle w:val="2"/>
        <w:keepNext w:val="0"/>
        <w:keepLines w:val="0"/>
        <w:pageBreakBefore w:val="0"/>
        <w:numPr>
          <w:ilvl w:val="0"/>
          <w:numId w:val="0"/>
        </w:numPr>
        <w:tabs>
          <w:tab w:val="left" w:pos="2160"/>
        </w:tabs>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eastAsia="zh-CN"/>
        </w:rPr>
        <w:t>四</w:t>
      </w:r>
      <w:r>
        <w:rPr>
          <w:rFonts w:hint="default" w:ascii="Times New Roman" w:hAnsi="Times New Roman" w:eastAsia="黑体" w:cs="Times New Roman"/>
          <w:b w:val="0"/>
          <w:bCs w:val="0"/>
          <w:color w:val="auto"/>
          <w:sz w:val="32"/>
          <w:szCs w:val="32"/>
          <w:highlight w:val="none"/>
          <w:u w:val="none"/>
        </w:rPr>
        <w:t>、评价结论</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本项目综合评价得分为‌9</w:t>
      </w: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zh-CN" w:eastAsia="zh-CN"/>
        </w:rPr>
        <w:t>分（优秀等级）‌，各项绩效指标均全面完成，部分指标超额实现。</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项目预算资金</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zh-CN" w:eastAsia="zh-CN"/>
        </w:rPr>
        <w:t>万元，专项用于</w:t>
      </w:r>
      <w:r>
        <w:rPr>
          <w:rFonts w:hint="default" w:ascii="仿宋_GB2312" w:hAnsi="仿宋_GB2312" w:eastAsia="仿宋_GB2312" w:cs="仿宋_GB2312"/>
          <w:sz w:val="32"/>
          <w:szCs w:val="32"/>
          <w:lang w:val="en-US" w:eastAsia="zh-CN"/>
        </w:rPr>
        <w:t>一老一小课题研究费</w:t>
      </w:r>
      <w:r>
        <w:rPr>
          <w:rFonts w:hint="default"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en-US" w:eastAsia="zh-CN"/>
        </w:rPr>
        <w:t>编制课题研究成果</w:t>
      </w:r>
      <w:r>
        <w:rPr>
          <w:rFonts w:hint="eastAsia" w:ascii="仿宋_GB2312" w:hAnsi="仿宋_GB2312" w:eastAsia="仿宋_GB2312" w:cs="仿宋_GB2312"/>
          <w:sz w:val="32"/>
          <w:szCs w:val="32"/>
          <w:lang w:val="en-US" w:eastAsia="zh-CN"/>
        </w:rPr>
        <w:t>1套</w:t>
      </w:r>
      <w:r>
        <w:rPr>
          <w:rFonts w:hint="default"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en-US" w:eastAsia="zh-CN"/>
        </w:rPr>
        <w:t>为“十五五”时期加快发展优质“一老一小”服务提供重要参考</w:t>
      </w:r>
      <w:r>
        <w:rPr>
          <w:rFonts w:hint="default" w:ascii="仿宋_GB2312" w:hAnsi="仿宋_GB2312" w:eastAsia="仿宋_GB2312" w:cs="仿宋_GB2312"/>
          <w:sz w:val="32"/>
          <w:szCs w:val="32"/>
          <w:lang w:val="zh-CN" w:eastAsia="zh-CN"/>
        </w:rPr>
        <w:t>，精准落实关怀政策。</w:t>
      </w:r>
    </w:p>
    <w:p>
      <w:pPr>
        <w:pStyle w:val="2"/>
        <w:keepNext w:val="0"/>
        <w:keepLines w:val="0"/>
        <w:pageBreakBefore w:val="0"/>
        <w:numPr>
          <w:ilvl w:val="0"/>
          <w:numId w:val="0"/>
        </w:numPr>
        <w:tabs>
          <w:tab w:val="left" w:pos="2160"/>
        </w:tabs>
        <w:kinsoku/>
        <w:wordWrap/>
        <w:overflowPunct/>
        <w:topLinePunct w:val="0"/>
        <w:autoSpaceDE/>
        <w:autoSpaceDN/>
        <w:bidi w:val="0"/>
        <w:adjustRightInd/>
        <w:spacing w:line="576" w:lineRule="exact"/>
        <w:ind w:firstLine="640" w:firstLineChars="200"/>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pStyle w:val="2"/>
        <w:keepNext w:val="0"/>
        <w:keepLines w:val="0"/>
        <w:pageBreakBefore w:val="0"/>
        <w:numPr>
          <w:ilvl w:val="0"/>
          <w:numId w:val="0"/>
        </w:numPr>
        <w:tabs>
          <w:tab w:val="left" w:pos="2160"/>
        </w:tabs>
        <w:kinsoku/>
        <w:wordWrap/>
        <w:overflowPunct/>
        <w:topLinePunct w:val="0"/>
        <w:autoSpaceDE/>
        <w:autoSpaceDN/>
        <w:bidi w:val="0"/>
        <w:adjustRightInd/>
        <w:spacing w:line="576" w:lineRule="exact"/>
        <w:ind w:firstLine="640" w:firstLineChars="200"/>
        <w:textAlignment w:val="auto"/>
        <w:rPr>
          <w:rFonts w:hint="default" w:ascii="仿宋_GB2312" w:hAnsi="仿宋_GB2312" w:eastAsia="仿宋_GB2312" w:cs="仿宋_GB2312"/>
          <w:kern w:val="2"/>
          <w:sz w:val="32"/>
          <w:szCs w:val="32"/>
          <w:lang w:val="zh-CN" w:eastAsia="zh-CN" w:bidi="ar-SA"/>
        </w:rPr>
      </w:pPr>
      <w:r>
        <w:rPr>
          <w:rFonts w:hint="default" w:ascii="仿宋_GB2312" w:hAnsi="仿宋_GB2312" w:eastAsia="仿宋_GB2312" w:cs="仿宋_GB2312"/>
          <w:kern w:val="2"/>
          <w:sz w:val="32"/>
          <w:szCs w:val="32"/>
          <w:lang w:val="zh-CN" w:eastAsia="zh-CN" w:bidi="ar-SA"/>
        </w:rPr>
        <w:t>虽然发放额度与预算相符，但缺乏对成本控制的详细分析，可能存在优化空间。</w:t>
      </w:r>
    </w:p>
    <w:p>
      <w:pPr>
        <w:pStyle w:val="2"/>
        <w:keepNext w:val="0"/>
        <w:keepLines w:val="0"/>
        <w:pageBreakBefore w:val="0"/>
        <w:numPr>
          <w:ilvl w:val="0"/>
          <w:numId w:val="0"/>
        </w:numPr>
        <w:tabs>
          <w:tab w:val="left" w:pos="2160"/>
        </w:tabs>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黑体" w:cs="Times New Roman"/>
          <w:b w:val="0"/>
          <w:bCs w:val="0"/>
          <w:color w:val="auto"/>
          <w:kern w:val="0"/>
          <w:position w:val="3"/>
          <w:sz w:val="32"/>
          <w:szCs w:val="32"/>
          <w:highlight w:val="none"/>
          <w:u w:val="none"/>
          <w:lang w:val="zh-CN" w:eastAsia="zh-CN" w:bidi="ar-SA"/>
        </w:rPr>
      </w:pPr>
      <w:r>
        <w:rPr>
          <w:rFonts w:hint="default" w:ascii="Times New Roman" w:hAnsi="Times New Roman" w:eastAsia="黑体" w:cs="Times New Roman"/>
          <w:b w:val="0"/>
          <w:bCs w:val="0"/>
          <w:color w:val="auto"/>
          <w:kern w:val="0"/>
          <w:position w:val="3"/>
          <w:sz w:val="32"/>
          <w:szCs w:val="32"/>
          <w:highlight w:val="none"/>
          <w:u w:val="none"/>
          <w:lang w:val="zh-CN" w:eastAsia="zh-CN" w:bidi="ar-SA"/>
        </w:rPr>
        <w:t>六、改进建议</w:t>
      </w:r>
    </w:p>
    <w:p>
      <w:pPr>
        <w:pStyle w:val="2"/>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kern w:val="2"/>
          <w:sz w:val="32"/>
          <w:szCs w:val="32"/>
          <w:lang w:val="en" w:eastAsia="zh-CN" w:bidi="ar-SA"/>
        </w:rPr>
      </w:pPr>
      <w:bookmarkStart w:id="67" w:name="_Hlk110546638"/>
      <w:r>
        <w:rPr>
          <w:rFonts w:hint="default" w:ascii="仿宋_GB2312" w:hAnsi="仿宋_GB2312" w:eastAsia="仿宋_GB2312" w:cs="仿宋_GB2312"/>
          <w:kern w:val="2"/>
          <w:sz w:val="32"/>
          <w:szCs w:val="32"/>
          <w:lang w:val="en-US" w:eastAsia="zh-CN" w:bidi="ar-SA"/>
        </w:rPr>
        <w:t>对项目成本进行详细分析，寻找降低成本的有效途径，如提高资金使用效率等。</w:t>
      </w:r>
    </w:p>
    <w:bookmarkEnd w:id="67"/>
    <w:p>
      <w:pPr>
        <w:pStyle w:val="2"/>
        <w:keepNext w:val="0"/>
        <w:keepLines w:val="0"/>
        <w:pageBreakBefore w:val="0"/>
        <w:numPr>
          <w:ilvl w:val="0"/>
          <w:numId w:val="0"/>
        </w:numPr>
        <w:tabs>
          <w:tab w:val="left" w:pos="2160"/>
        </w:tabs>
        <w:kinsoku/>
        <w:wordWrap/>
        <w:overflowPunct/>
        <w:topLinePunct w:val="0"/>
        <w:autoSpaceDE/>
        <w:autoSpaceDN/>
        <w:bidi w:val="0"/>
        <w:adjustRightInd/>
        <w:spacing w:line="576" w:lineRule="exact"/>
        <w:ind w:firstLine="640" w:firstLineChars="200"/>
        <w:textAlignment w:val="auto"/>
        <w:rPr>
          <w:rFonts w:hint="default" w:ascii="仿宋_GB2312" w:hAnsi="仿宋_GB2312" w:eastAsia="仿宋_GB2312" w:cs="仿宋_GB2312"/>
          <w:kern w:val="2"/>
          <w:sz w:val="32"/>
          <w:szCs w:val="32"/>
          <w:lang w:val="zh-CN" w:eastAsia="zh-CN" w:bidi="ar-SA"/>
        </w:rPr>
      </w:pPr>
    </w:p>
    <w:p>
      <w:pPr>
        <w:pStyle w:val="2"/>
        <w:rPr>
          <w:rFonts w:hint="eastAsia" w:hAnsi="Times New Roman" w:cs="Times New Roman"/>
          <w:sz w:val="32"/>
          <w:szCs w:val="32"/>
          <w:highlight w:val="none"/>
          <w:lang w:val="en-US" w:eastAsia="zh-CN"/>
        </w:rPr>
      </w:pPr>
    </w:p>
    <w:p>
      <w:pPr>
        <w:rPr>
          <w:rFonts w:hint="eastAsia" w:hAnsi="Times New Roman" w:cs="Times New Roman"/>
          <w:sz w:val="32"/>
          <w:szCs w:val="32"/>
          <w:highlight w:val="none"/>
          <w:lang w:val="en-US" w:eastAsia="zh-CN"/>
        </w:rPr>
        <w:sectPr>
          <w:footerReference r:id="rId6" w:type="first"/>
          <w:footerReference r:id="rId5" w:type="default"/>
          <w:pgSz w:w="11906" w:h="16838"/>
          <w:pgMar w:top="2098" w:right="1474" w:bottom="1984" w:left="1587" w:header="851" w:footer="992" w:gutter="0"/>
          <w:pgNumType w:fmt="decimal" w:start="1"/>
          <w:cols w:space="425" w:num="1"/>
          <w:titlePg/>
          <w:docGrid w:type="lines" w:linePitch="312" w:charSpace="0"/>
        </w:sectPr>
      </w:pPr>
    </w:p>
    <w:p>
      <w:pPr>
        <w:pStyle w:val="47"/>
        <w:keepNext w:val="0"/>
        <w:keepLines w:val="0"/>
        <w:pageBreakBefore w:val="0"/>
        <w:widowControl w:val="0"/>
        <w:kinsoku/>
        <w:wordWrap/>
        <w:overflowPunct/>
        <w:topLinePunct w:val="0"/>
        <w:autoSpaceDE/>
        <w:autoSpaceDN/>
        <w:bidi w:val="0"/>
        <w:spacing w:line="576"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r>
        <w:rPr>
          <w:rFonts w:hint="eastAsia" w:ascii="Times New Roman" w:hAnsi="Times New Roman" w:eastAsia="方正小标宋简体" w:cs="Times New Roman"/>
          <w:color w:val="auto"/>
          <w:kern w:val="2"/>
          <w:sz w:val="44"/>
          <w:szCs w:val="44"/>
          <w:highlight w:val="none"/>
          <w:lang w:val="en-US" w:eastAsia="zh-CN"/>
        </w:rPr>
        <w:t>市本级福彩公益金</w:t>
      </w:r>
      <w:r>
        <w:rPr>
          <w:rFonts w:hint="default" w:ascii="Times New Roman" w:hAnsi="Times New Roman" w:eastAsia="方正小标宋简体" w:cs="Times New Roman"/>
          <w:color w:val="auto"/>
          <w:kern w:val="2"/>
          <w:sz w:val="44"/>
          <w:szCs w:val="44"/>
          <w:highlight w:val="none"/>
          <w:lang w:val="en-US" w:eastAsia="zh-CN"/>
        </w:rPr>
        <w:t>专项预算绩效自评报告</w:t>
      </w:r>
    </w:p>
    <w:p>
      <w:pPr>
        <w:pStyle w:val="47"/>
        <w:keepNext w:val="0"/>
        <w:keepLines w:val="0"/>
        <w:pageBreakBefore w:val="0"/>
        <w:widowControl w:val="0"/>
        <w:kinsoku/>
        <w:wordWrap/>
        <w:overflowPunct/>
        <w:topLinePunct w:val="0"/>
        <w:autoSpaceDE/>
        <w:autoSpaceDN/>
        <w:bidi w:val="0"/>
        <w:spacing w:line="576" w:lineRule="exact"/>
        <w:ind w:left="0" w:leftChars="0" w:firstLine="640"/>
        <w:jc w:val="center"/>
        <w:textAlignment w:val="auto"/>
        <w:rPr>
          <w:rFonts w:hint="default" w:ascii="Times New Roman" w:hAnsi="Times New Roman" w:cs="Times New Roman"/>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（一）设立背景及基本情况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1.项目设立原因及背景</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福彩公益金的设立原因和背景主要是宗旨明确‌：以“扶老、助残、救孤、济困”为发行宗旨，聚焦弱势群体救助‌。</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2.项目立项、资金申报的依据</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项目立项、资金申报的依据主要是本单位职能职责及年度工作计划。</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3.项目主要内容</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参加第五届中国（四川）国际养老服务业暨养老产业博览会，结合我市实际，确定以养老产业为重点，围绕康养旅居，以唐家河、曾家山、月坝等康养为载体，综合展示市委、市政府发展康养产业的总体思路、资源禀赋、发展成果及战略规划。通过展览展示，达到宣传广元、对外交流、招引投资的良好效果。</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主管部门职能</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福彩公益金</w:t>
      </w:r>
      <w:r>
        <w:rPr>
          <w:rFonts w:hint="eastAsia" w:ascii="仿宋_GB2312" w:hAnsi="仿宋_GB2312" w:eastAsia="仿宋_GB2312" w:cs="仿宋_GB2312"/>
          <w:sz w:val="32"/>
          <w:szCs w:val="32"/>
          <w:lang w:val="zh-CN" w:eastAsia="zh-CN"/>
        </w:rPr>
        <w:t>工作经费项目的主管部门职能广泛，包括但不限于资金管理、政策实施、服务提供，以及跨部门协作，以确保</w:t>
      </w:r>
      <w:r>
        <w:rPr>
          <w:rFonts w:hint="eastAsia" w:ascii="仿宋_GB2312" w:hAnsi="仿宋_GB2312" w:eastAsia="仿宋_GB2312" w:cs="仿宋_GB2312"/>
          <w:sz w:val="32"/>
          <w:szCs w:val="32"/>
          <w:lang w:val="en-US" w:eastAsia="zh-CN"/>
        </w:rPr>
        <w:t>福彩公益金项目</w:t>
      </w:r>
      <w:r>
        <w:rPr>
          <w:rFonts w:hint="eastAsia" w:ascii="仿宋_GB2312" w:hAnsi="仿宋_GB2312" w:eastAsia="仿宋_GB2312" w:cs="仿宋_GB2312"/>
          <w:sz w:val="32"/>
          <w:szCs w:val="32"/>
          <w:lang w:val="zh-CN" w:eastAsia="zh-CN"/>
        </w:rPr>
        <w:t>工作的有效实施和资源的合理分配。</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（二）</w:t>
      </w:r>
      <w:r>
        <w:rPr>
          <w:rFonts w:hint="default" w:ascii="楷体_GB2312" w:hAnsi="宋体" w:eastAsia="楷体_GB2312" w:cs="Times New Roman"/>
          <w:b/>
          <w:color w:val="auto"/>
          <w:sz w:val="32"/>
          <w:szCs w:val="32"/>
          <w:highlight w:val="none"/>
          <w:u w:val="none"/>
          <w:lang w:val="en-US" w:eastAsia="zh-CN"/>
        </w:rPr>
        <w:t>实施目的及支持方向</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zh-CN" w:eastAsia="zh-CN"/>
        </w:rPr>
        <w:t>项目资金管理办法制定情况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该项目资金严格按照财务管理相关规定进行管理，确保专款专用，项目资金的管理遵循了既定的规则和程序，特别是明确了资金作为参加第五届中国（四川）国际养老服务业暨养老产业博览会经费的使用范围，体现了资金管理的规范性和针对性。</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2.项目实施目的</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通过展览展示，达到宣传广元、对外交流、招引投资的良好效果。</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3.主要工作任务</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结合我市实际，确定以养老产业为重点，围绕康养旅居，以唐家河、曾家山、月坝等康养为载体，综合展示市委、市政府发展康养产业的总体思路、资源禀赋、发展成果及战略规划。</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4.项目支持方向</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en-US" w:eastAsia="zh-CN"/>
        </w:rPr>
        <w:t>项目符合福彩公益金“扶老、助残、救孤、济困”的宗旨，支持方向涵盖康养产业展示、资源整合、品牌推广及配套服务建设，且需遵循绩效管理与合规要求。</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项目预算安排情况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福彩公益金项目作</w:t>
      </w:r>
      <w:r>
        <w:rPr>
          <w:rFonts w:hint="default" w:ascii="仿宋_GB2312" w:hAnsi="仿宋_GB2312" w:eastAsia="仿宋_GB2312" w:cs="仿宋_GB2312"/>
          <w:sz w:val="32"/>
          <w:szCs w:val="32"/>
          <w:lang w:val="zh-CN" w:eastAsia="zh-CN"/>
        </w:rPr>
        <w:t>为</w:t>
      </w:r>
      <w:r>
        <w:rPr>
          <w:rFonts w:hint="eastAsia" w:ascii="仿宋_GB2312" w:hAnsi="仿宋_GB2312" w:eastAsia="仿宋_GB2312" w:cs="仿宋_GB2312"/>
          <w:sz w:val="32"/>
          <w:szCs w:val="32"/>
          <w:lang w:val="en-US" w:eastAsia="zh-CN"/>
        </w:rPr>
        <w:t>延续性</w:t>
      </w:r>
      <w:r>
        <w:rPr>
          <w:rFonts w:hint="default" w:ascii="仿宋_GB2312" w:hAnsi="仿宋_GB2312" w:eastAsia="仿宋_GB2312" w:cs="仿宋_GB2312"/>
          <w:sz w:val="32"/>
          <w:szCs w:val="32"/>
          <w:lang w:val="zh-CN" w:eastAsia="zh-CN"/>
        </w:rPr>
        <w:t>项目，项目起止年限</w:t>
      </w:r>
      <w:r>
        <w:rPr>
          <w:rFonts w:hint="eastAsia" w:ascii="仿宋_GB2312" w:hAnsi="仿宋_GB2312" w:eastAsia="仿宋_GB2312" w:cs="仿宋_GB2312"/>
          <w:sz w:val="32"/>
          <w:szCs w:val="32"/>
          <w:lang w:val="en-US" w:eastAsia="zh-CN"/>
        </w:rPr>
        <w:t>为长期</w:t>
      </w:r>
      <w:r>
        <w:rPr>
          <w:rFonts w:hint="default" w:ascii="仿宋_GB2312" w:hAnsi="仿宋_GB2312" w:eastAsia="仿宋_GB2312" w:cs="仿宋_GB2312"/>
          <w:sz w:val="32"/>
          <w:szCs w:val="32"/>
          <w:lang w:val="zh-CN" w:eastAsia="zh-CN"/>
        </w:rPr>
        <w:t>，即该项目资金专门用于</w:t>
      </w:r>
      <w:r>
        <w:rPr>
          <w:rFonts w:hint="default" w:ascii="仿宋_GB2312" w:hAnsi="仿宋_GB2312" w:eastAsia="仿宋_GB2312" w:cs="仿宋_GB2312"/>
          <w:sz w:val="32"/>
          <w:szCs w:val="32"/>
          <w:lang w:val="en-US" w:eastAsia="zh-CN"/>
        </w:rPr>
        <w:t>康养产业展示</w:t>
      </w:r>
      <w:r>
        <w:rPr>
          <w:rFonts w:hint="default" w:ascii="仿宋_GB2312" w:hAnsi="仿宋_GB2312" w:eastAsia="仿宋_GB2312" w:cs="仿宋_GB2312"/>
          <w:sz w:val="32"/>
          <w:szCs w:val="32"/>
          <w:lang w:val="zh-CN" w:eastAsia="zh-CN"/>
        </w:rPr>
        <w:t>。年度资金总额为</w:t>
      </w:r>
      <w:r>
        <w:rPr>
          <w:rFonts w:hint="eastAsia" w:ascii="仿宋_GB2312" w:hAnsi="仿宋_GB2312" w:eastAsia="仿宋_GB2312" w:cs="仿宋_GB2312"/>
          <w:sz w:val="32"/>
          <w:szCs w:val="32"/>
          <w:lang w:val="en-US" w:eastAsia="zh-CN"/>
        </w:rPr>
        <w:t>365</w:t>
      </w:r>
      <w:r>
        <w:rPr>
          <w:rFonts w:hint="default" w:ascii="仿宋_GB2312" w:hAnsi="仿宋_GB2312" w:eastAsia="仿宋_GB2312" w:cs="仿宋_GB2312"/>
          <w:sz w:val="32"/>
          <w:szCs w:val="32"/>
          <w:lang w:val="zh-CN" w:eastAsia="zh-CN"/>
        </w:rPr>
        <w:t>万元，全部来源于财政拨款</w:t>
      </w:r>
      <w:r>
        <w:rPr>
          <w:rFonts w:hint="eastAsia"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zh-CN" w:eastAsia="zh-CN"/>
        </w:rPr>
        <w:t>该预算安排全部作为</w:t>
      </w:r>
      <w:r>
        <w:rPr>
          <w:rFonts w:hint="default" w:ascii="仿宋_GB2312" w:hAnsi="仿宋_GB2312" w:eastAsia="仿宋_GB2312" w:cs="仿宋_GB2312"/>
          <w:sz w:val="32"/>
          <w:szCs w:val="32"/>
          <w:lang w:val="en-US" w:eastAsia="zh-CN"/>
        </w:rPr>
        <w:t>康养产业展示</w:t>
      </w:r>
      <w:r>
        <w:rPr>
          <w:rFonts w:hint="default" w:ascii="仿宋_GB2312" w:hAnsi="仿宋_GB2312" w:eastAsia="仿宋_GB2312" w:cs="仿宋_GB2312"/>
          <w:sz w:val="32"/>
          <w:szCs w:val="32"/>
          <w:lang w:val="zh-CN" w:eastAsia="zh-CN"/>
        </w:rPr>
        <w:t>资金</w:t>
      </w:r>
      <w:r>
        <w:rPr>
          <w:rFonts w:hint="eastAsia" w:ascii="仿宋_GB2312" w:hAnsi="仿宋_GB2312" w:eastAsia="仿宋_GB2312" w:cs="仿宋_GB2312"/>
          <w:sz w:val="32"/>
          <w:szCs w:val="32"/>
          <w:lang w:val="en-US"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zh-CN" w:eastAsia="zh-CN"/>
        </w:rPr>
        <w:t>项目资金分配原则及考虑因素</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分配原则‌：遵循公平、公正、公开的原则，确保资金分配透明、合理</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综上所述，该项目预算安排合理，资金分配原则明确，考虑因素全面，分配情况符合实际需求，确保了第五届中国（四川）国际养老服务业暨养老产业博览会的顺利进行。</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（四）项目绩效目标设置</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zh-CN" w:eastAsia="zh-CN"/>
        </w:rPr>
        <w:t>项目整体</w:t>
      </w:r>
      <w:r>
        <w:rPr>
          <w:rFonts w:hint="eastAsia" w:ascii="仿宋_GB2312" w:hAnsi="仿宋_GB2312" w:eastAsia="仿宋_GB2312" w:cs="仿宋_GB2312"/>
          <w:sz w:val="32"/>
          <w:szCs w:val="32"/>
          <w:lang w:val="en-US" w:eastAsia="zh-CN"/>
        </w:rPr>
        <w:t>绩效指标</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该项目为</w:t>
      </w:r>
      <w:r>
        <w:rPr>
          <w:rFonts w:hint="eastAsia" w:ascii="仿宋_GB2312" w:hAnsi="仿宋_GB2312" w:eastAsia="仿宋_GB2312" w:cs="仿宋_GB2312"/>
          <w:sz w:val="32"/>
          <w:szCs w:val="32"/>
          <w:lang w:val="en-US" w:eastAsia="zh-CN"/>
        </w:rPr>
        <w:t>广元市民政局</w:t>
      </w:r>
      <w:r>
        <w:rPr>
          <w:rFonts w:hint="default" w:ascii="仿宋_GB2312" w:hAnsi="仿宋_GB2312" w:eastAsia="仿宋_GB2312" w:cs="仿宋_GB2312"/>
          <w:sz w:val="32"/>
          <w:szCs w:val="32"/>
          <w:lang w:val="zh-CN" w:eastAsia="zh-CN"/>
        </w:rPr>
        <w:t>负责的</w:t>
      </w:r>
      <w:r>
        <w:rPr>
          <w:rFonts w:hint="eastAsia" w:ascii="仿宋_GB2312" w:hAnsi="仿宋_GB2312" w:eastAsia="仿宋_GB2312" w:cs="仿宋_GB2312"/>
          <w:sz w:val="32"/>
          <w:szCs w:val="32"/>
          <w:lang w:val="en-US" w:eastAsia="zh-CN"/>
        </w:rPr>
        <w:t>福彩公益金</w:t>
      </w:r>
      <w:r>
        <w:rPr>
          <w:rFonts w:hint="default" w:ascii="仿宋_GB2312" w:hAnsi="仿宋_GB2312" w:eastAsia="仿宋_GB2312" w:cs="仿宋_GB2312"/>
          <w:sz w:val="32"/>
          <w:szCs w:val="32"/>
          <w:lang w:val="zh-CN" w:eastAsia="zh-CN"/>
        </w:rPr>
        <w:t>项目，属于部门项目，为</w:t>
      </w:r>
      <w:r>
        <w:rPr>
          <w:rFonts w:hint="eastAsia" w:ascii="仿宋_GB2312" w:hAnsi="仿宋_GB2312" w:eastAsia="仿宋_GB2312" w:cs="仿宋_GB2312"/>
          <w:sz w:val="32"/>
          <w:szCs w:val="32"/>
          <w:lang w:val="en-US" w:eastAsia="zh-CN"/>
        </w:rPr>
        <w:t>延续</w:t>
      </w:r>
      <w:r>
        <w:rPr>
          <w:rFonts w:hint="default" w:ascii="仿宋_GB2312" w:hAnsi="仿宋_GB2312" w:eastAsia="仿宋_GB2312" w:cs="仿宋_GB2312"/>
          <w:sz w:val="32"/>
          <w:szCs w:val="32"/>
          <w:lang w:val="zh-CN" w:eastAsia="zh-CN"/>
        </w:rPr>
        <w:t>项目，项目周期为</w:t>
      </w:r>
      <w:r>
        <w:rPr>
          <w:rFonts w:hint="eastAsia" w:ascii="仿宋_GB2312" w:hAnsi="仿宋_GB2312" w:eastAsia="仿宋_GB2312" w:cs="仿宋_GB2312"/>
          <w:sz w:val="32"/>
          <w:szCs w:val="32"/>
          <w:lang w:val="en-US" w:eastAsia="zh-CN"/>
        </w:rPr>
        <w:t>长期</w:t>
      </w:r>
      <w:r>
        <w:rPr>
          <w:rFonts w:hint="default" w:ascii="仿宋_GB2312" w:hAnsi="仿宋_GB2312" w:eastAsia="仿宋_GB2312" w:cs="仿宋_GB2312"/>
          <w:sz w:val="32"/>
          <w:szCs w:val="32"/>
          <w:lang w:val="zh-CN" w:eastAsia="zh-CN"/>
        </w:rPr>
        <w:t>。项目资金总额为</w:t>
      </w:r>
      <w:r>
        <w:rPr>
          <w:rFonts w:hint="eastAsia" w:ascii="仿宋_GB2312" w:hAnsi="仿宋_GB2312" w:eastAsia="仿宋_GB2312" w:cs="仿宋_GB2312"/>
          <w:sz w:val="32"/>
          <w:szCs w:val="32"/>
          <w:lang w:val="en-US" w:eastAsia="zh-CN"/>
        </w:rPr>
        <w:t>69.93</w:t>
      </w:r>
      <w:r>
        <w:rPr>
          <w:rFonts w:hint="default" w:ascii="仿宋_GB2312" w:hAnsi="仿宋_GB2312" w:eastAsia="仿宋_GB2312" w:cs="仿宋_GB2312"/>
          <w:sz w:val="32"/>
          <w:szCs w:val="32"/>
          <w:lang w:val="zh-CN" w:eastAsia="zh-CN"/>
        </w:rPr>
        <w:t>万元，全部为财政拨</w:t>
      </w:r>
      <w:r>
        <w:rPr>
          <w:rFonts w:hint="eastAsia" w:ascii="仿宋_GB2312" w:hAnsi="仿宋_GB2312" w:eastAsia="仿宋_GB2312" w:cs="仿宋_GB2312"/>
          <w:sz w:val="32"/>
          <w:szCs w:val="32"/>
          <w:lang w:val="en-US" w:eastAsia="zh-CN"/>
        </w:rPr>
        <w:t>款</w:t>
      </w:r>
      <w:r>
        <w:rPr>
          <w:rFonts w:hint="default"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zh-CN" w:eastAsia="zh-CN"/>
        </w:rPr>
        <w:t>具体绩效目标设置情况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数量指标‌：</w:t>
      </w:r>
      <w:r>
        <w:rPr>
          <w:rFonts w:hint="default" w:ascii="仿宋_GB2312" w:hAnsi="仿宋_GB2312" w:eastAsia="仿宋_GB2312" w:cs="仿宋_GB2312"/>
          <w:sz w:val="32"/>
          <w:szCs w:val="32"/>
          <w:lang w:val="en-US" w:eastAsia="zh-CN"/>
        </w:rPr>
        <w:t>组织人员参与</w:t>
      </w:r>
      <w:r>
        <w:rPr>
          <w:rFonts w:hint="eastAsia" w:ascii="仿宋_GB2312" w:hAnsi="仿宋_GB2312" w:eastAsia="仿宋_GB2312" w:cs="仿宋_GB2312"/>
          <w:sz w:val="32"/>
          <w:szCs w:val="32"/>
          <w:lang w:val="en-US" w:eastAsia="zh-CN"/>
        </w:rPr>
        <w:t>=30</w:t>
      </w:r>
      <w:r>
        <w:rPr>
          <w:rFonts w:hint="default" w:ascii="仿宋_GB2312" w:hAnsi="仿宋_GB2312" w:eastAsia="仿宋_GB2312" w:cs="仿宋_GB2312"/>
          <w:sz w:val="32"/>
          <w:szCs w:val="32"/>
          <w:lang w:val="zh-CN" w:eastAsia="zh-CN"/>
        </w:rPr>
        <w:t>人</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en-US" w:eastAsia="zh-CN"/>
        </w:rPr>
        <w:t>展位面积</w:t>
      </w:r>
      <w:r>
        <w:rPr>
          <w:rFonts w:hint="eastAsia" w:ascii="仿宋_GB2312" w:hAnsi="仿宋_GB2312" w:eastAsia="仿宋_GB2312" w:cs="仿宋_GB2312"/>
          <w:sz w:val="32"/>
          <w:szCs w:val="32"/>
          <w:lang w:val="en-US" w:eastAsia="zh-CN"/>
        </w:rPr>
        <w:t>=216平方米</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质量指标‌：</w:t>
      </w:r>
      <w:r>
        <w:rPr>
          <w:rFonts w:hint="default" w:ascii="仿宋_GB2312" w:hAnsi="仿宋_GB2312" w:eastAsia="仿宋_GB2312" w:cs="仿宋_GB2312"/>
          <w:sz w:val="32"/>
          <w:szCs w:val="32"/>
          <w:lang w:val="en-US" w:eastAsia="zh-CN"/>
        </w:rPr>
        <w:t>搭建展馆一个，面积216平方米，以康养胜地·广元为主题，设置康养资源、康复辅具、康养产品和推介项目4个展示区，重点展示广元的资源禀赋、发展成果、发展战略等内容。</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社会效益</w:t>
      </w:r>
      <w:r>
        <w:rPr>
          <w:rFonts w:hint="default" w:ascii="仿宋_GB2312" w:hAnsi="仿宋_GB2312" w:eastAsia="仿宋_GB2312" w:cs="仿宋_GB2312"/>
          <w:sz w:val="32"/>
          <w:szCs w:val="32"/>
          <w:lang w:val="zh-CN" w:eastAsia="zh-CN"/>
        </w:rPr>
        <w:t>指标‌：</w:t>
      </w:r>
      <w:r>
        <w:rPr>
          <w:rFonts w:hint="default" w:ascii="仿宋_GB2312" w:hAnsi="仿宋_GB2312" w:eastAsia="仿宋_GB2312" w:cs="仿宋_GB2312"/>
          <w:sz w:val="32"/>
          <w:szCs w:val="32"/>
          <w:lang w:val="en-US" w:eastAsia="zh-CN"/>
        </w:rPr>
        <w:t>宣传广元养老发展成效，推荐广元养老项目，招引企业来广投资</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可持续影响指标‌：</w:t>
      </w:r>
      <w:r>
        <w:rPr>
          <w:rFonts w:hint="default" w:ascii="仿宋_GB2312" w:hAnsi="仿宋_GB2312" w:eastAsia="仿宋_GB2312" w:cs="仿宋_GB2312"/>
          <w:sz w:val="32"/>
          <w:szCs w:val="32"/>
          <w:lang w:val="en-US" w:eastAsia="zh-CN"/>
        </w:rPr>
        <w:t>通过展览展示，达到宣传广元、对外交流、招引投资的良好效果，促进全市养老服务工作进一步发展</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服务对象满意度‌：</w:t>
      </w:r>
      <w:r>
        <w:rPr>
          <w:rFonts w:hint="default" w:ascii="仿宋_GB2312" w:hAnsi="仿宋_GB2312" w:eastAsia="仿宋_GB2312" w:cs="仿宋_GB2312"/>
          <w:sz w:val="32"/>
          <w:szCs w:val="32"/>
          <w:lang w:val="en-US" w:eastAsia="zh-CN"/>
        </w:rPr>
        <w:t>服务对象</w:t>
      </w:r>
      <w:r>
        <w:rPr>
          <w:rFonts w:hint="default" w:ascii="仿宋_GB2312" w:hAnsi="仿宋_GB2312" w:eastAsia="仿宋_GB2312" w:cs="仿宋_GB2312"/>
          <w:sz w:val="32"/>
          <w:szCs w:val="32"/>
          <w:lang w:val="zh-CN" w:eastAsia="zh-CN"/>
        </w:rPr>
        <w:t>≥9</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经济成本‌：</w:t>
      </w:r>
      <w:r>
        <w:rPr>
          <w:rFonts w:hint="default" w:ascii="仿宋_GB2312" w:hAnsi="仿宋_GB2312" w:eastAsia="仿宋_GB2312" w:cs="仿宋_GB2312"/>
          <w:sz w:val="32"/>
          <w:szCs w:val="32"/>
          <w:lang w:val="en-US" w:eastAsia="zh-CN"/>
        </w:rPr>
        <w:t>展位租金129600元，展位设计搭建费用182700元</w:t>
      </w:r>
      <w:r>
        <w:rPr>
          <w:rFonts w:hint="eastAsia" w:ascii="仿宋_GB2312" w:hAnsi="仿宋_GB2312" w:eastAsia="仿宋_GB2312" w:cs="仿宋_GB2312"/>
          <w:sz w:val="32"/>
          <w:szCs w:val="32"/>
          <w:lang w:val="en-US" w:eastAsia="zh-CN"/>
        </w:rPr>
        <w:t>=69.93</w:t>
      </w:r>
      <w:r>
        <w:rPr>
          <w:rFonts w:hint="default" w:ascii="仿宋_GB2312" w:hAnsi="仿宋_GB2312" w:eastAsia="仿宋_GB2312" w:cs="仿宋_GB2312"/>
          <w:sz w:val="32"/>
          <w:szCs w:val="32"/>
          <w:lang w:val="zh-CN" w:eastAsia="zh-CN"/>
        </w:rPr>
        <w:t>万元</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zh-CN" w:eastAsia="zh-CN"/>
        </w:rPr>
        <w:t>项目自评工作开展情况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根据项目自评表的内容，项目自评工作已经按照预定的绩效指标进行了全面的评估。自评结果显示，各项绩效指标均已完成</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部分指标还未完成</w:t>
      </w:r>
      <w:r>
        <w:rPr>
          <w:rFonts w:hint="default" w:ascii="仿宋_GB2312" w:hAnsi="仿宋_GB2312" w:eastAsia="仿宋_GB2312" w:cs="仿宋_GB2312"/>
          <w:sz w:val="32"/>
          <w:szCs w:val="32"/>
          <w:lang w:val="zh-CN" w:eastAsia="zh-CN"/>
        </w:rPr>
        <w:t>，表明项目绩效目标设置合理，执行情况良好。通过自评工作，进一步验证了项目的有效性和可行性，为后续项目的实施提供了有益的参考和借鉴。</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评价实施</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（一）评价目的</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en-US" w:eastAsia="zh-CN"/>
        </w:rPr>
        <w:t>通过展览展示，达到宣传广元、对外交流、招引投资的良好效果，促进全市养老服务工作进一步发展</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（二）预设问题及评价重点</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在</w:t>
      </w:r>
      <w:r>
        <w:rPr>
          <w:rFonts w:hint="default" w:ascii="仿宋_GB2312" w:hAnsi="仿宋_GB2312" w:eastAsia="仿宋_GB2312" w:cs="仿宋_GB2312"/>
          <w:sz w:val="32"/>
          <w:szCs w:val="32"/>
          <w:lang w:val="zh-CN" w:eastAsia="zh-CN"/>
        </w:rPr>
        <w:t>养老产业博览会</w:t>
      </w:r>
      <w:r>
        <w:rPr>
          <w:rFonts w:hint="eastAsia" w:ascii="仿宋_GB2312" w:hAnsi="仿宋_GB2312" w:eastAsia="仿宋_GB2312" w:cs="仿宋_GB2312"/>
          <w:sz w:val="32"/>
          <w:szCs w:val="32"/>
          <w:lang w:val="zh-CN" w:eastAsia="zh-CN"/>
        </w:rPr>
        <w:t>项目的执行过程中，我们预设了一系列问题以待评价，包括：项目资金是否按照预算和规定用途合理分配和使用？项目实施过程中是否存在管理漏洞或效率低下的问题？项目的受益群体是否真正实现了就业创业能力的提升？以及项目是否达到了预期的社会和经济效益？</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价重点将集中在资金支出使用的全过程及其实施效果上。首先，针对资金支出，我们将重点关注合规性、效率性和经济性，确保资金的合理运用。其次，在实施效果方面，我们将着重评价项目的目标达成度、效益性、影响力和持续性，以综合判断项目是否成功实现了既定目标</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（三）评价选点</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通过多渠道、多形式的宣传方式，，提高公众认知度与参与度，构建良好的社会救助氛围。</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（四）评价方法</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自评中，根据项目情况和评价重点，我单位主要采用方法包括：实地勘察法、问卷调查法、等多种方法。</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（五）评价组织</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评价组由以下人员构成，并根据各自专业背景和经验进行职责分工：</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、评价组人员构成</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）评价组组长：由具备丰富项目管理经验和高级职称的专家担任，负责评价工作的总体指挥和协调。</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）财务专家：负责审核项目资金使用的合规性、合理性和效益性。</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）项目管理专家：负责评估项目实施过程的管理效率、风险控制及进度控制。</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）社会学专家：负责评价项目的社会影响力和受益群体的满意度。</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eastAsia="zh-CN"/>
        </w:rPr>
        <w:t>）统计分析人员：负责问卷数据的收集、整理和分析工作。</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、职责分工</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）评价组组长：负责制定评价方案，组织评价组成员开展评价工作，审核评价报告，并对评价结果负责。</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）财务专家：审查项目财务报表，评估资金使用的效率和效果，提出财务方面的评价意见和建议。</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）项目管理专家：审查项目实施方案，评估项目管理流程，识别项目管理中的问题和风险，并提出改进措施。</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）社会学专家：通过座谈会、访谈等方式，收集项目受益群体的反馈，评估项目的社会效益和影响力。</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eastAsia="zh-CN"/>
        </w:rPr>
        <w:t>）统计分析人员：负责设计问卷、收集数据、进行数据分析，为评价报告提供数据支持。</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通过明确的职责分工，评价组将协同合作，确保</w:t>
      </w:r>
      <w:r>
        <w:rPr>
          <w:rFonts w:hint="default" w:ascii="仿宋_GB2312" w:hAnsi="仿宋_GB2312" w:eastAsia="仿宋_GB2312" w:cs="仿宋_GB2312"/>
          <w:sz w:val="32"/>
          <w:szCs w:val="32"/>
          <w:lang w:val="zh-CN" w:eastAsia="zh-CN"/>
        </w:rPr>
        <w:t>第五届中国（四川）国际养老服务业暨养老产业博览会</w:t>
      </w:r>
      <w:r>
        <w:rPr>
          <w:rFonts w:hint="eastAsia" w:ascii="仿宋_GB2312" w:hAnsi="仿宋_GB2312" w:eastAsia="仿宋_GB2312" w:cs="仿宋_GB2312"/>
          <w:sz w:val="32"/>
          <w:szCs w:val="32"/>
          <w:lang w:val="zh-CN" w:eastAsia="zh-CN"/>
        </w:rPr>
        <w:t>项目评价工作的科学性、公正性和有效性。</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val="0"/>
          <w:color w:val="auto"/>
          <w:sz w:val="32"/>
          <w:szCs w:val="32"/>
          <w:highlight w:val="none"/>
          <w:u w:val="none"/>
          <w:lang w:val="zh-CN"/>
        </w:rPr>
      </w:pPr>
      <w:r>
        <w:rPr>
          <w:rFonts w:hint="eastAsia" w:ascii="黑体" w:hAnsi="黑体" w:eastAsia="黑体" w:cs="黑体"/>
          <w:b w:val="0"/>
          <w:bCs w:val="0"/>
          <w:color w:val="auto"/>
          <w:sz w:val="32"/>
          <w:szCs w:val="32"/>
          <w:highlight w:val="none"/>
          <w:u w:val="none"/>
        </w:rPr>
        <w:t>三、</w:t>
      </w:r>
      <w:r>
        <w:rPr>
          <w:rFonts w:hint="eastAsia" w:ascii="黑体" w:hAnsi="黑体" w:eastAsia="黑体" w:cs="黑体"/>
          <w:b w:val="0"/>
          <w:bCs w:val="0"/>
          <w:color w:val="auto"/>
          <w:sz w:val="32"/>
          <w:szCs w:val="32"/>
          <w:highlight w:val="none"/>
          <w:u w:val="none"/>
          <w:lang w:eastAsia="zh-CN"/>
        </w:rPr>
        <w:t>绩效分析</w:t>
      </w:r>
      <w:r>
        <w:rPr>
          <w:rFonts w:hint="eastAsia" w:ascii="黑体" w:hAnsi="黑体" w:eastAsia="黑体" w:cs="黑体"/>
          <w:b w:val="0"/>
          <w:bCs w:val="0"/>
          <w:color w:val="auto"/>
          <w:sz w:val="32"/>
          <w:szCs w:val="32"/>
          <w:highlight w:val="none"/>
          <w:u w:val="none"/>
          <w:lang w:val="zh-CN"/>
        </w:rPr>
        <w:tab/>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rPr>
          <w:rFonts w:hint="default" w:ascii="楷体_GB2312" w:hAnsi="宋体" w:eastAsia="楷体_GB2312" w:cs="Times New Roman"/>
          <w:b/>
          <w:color w:val="auto"/>
          <w:sz w:val="32"/>
          <w:szCs w:val="32"/>
          <w:highlight w:val="none"/>
          <w:u w:val="none"/>
          <w:lang w:val="en-US" w:eastAsia="zh-CN"/>
        </w:rPr>
      </w:pPr>
      <w:r>
        <w:rPr>
          <w:rFonts w:hint="default" w:ascii="楷体_GB2312" w:hAnsi="宋体" w:eastAsia="楷体_GB2312" w:cs="Times New Roman"/>
          <w:b/>
          <w:color w:val="auto"/>
          <w:sz w:val="32"/>
          <w:szCs w:val="32"/>
          <w:highlight w:val="none"/>
          <w:u w:val="none"/>
          <w:lang w:val="zh-CN" w:eastAsia="zh-CN"/>
        </w:rPr>
        <w:t>（一）</w:t>
      </w:r>
      <w:r>
        <w:rPr>
          <w:rFonts w:hint="default" w:ascii="楷体_GB2312" w:hAnsi="宋体" w:eastAsia="楷体_GB2312" w:cs="Times New Roman"/>
          <w:b/>
          <w:color w:val="auto"/>
          <w:sz w:val="32"/>
          <w:szCs w:val="32"/>
          <w:highlight w:val="none"/>
          <w:u w:val="none"/>
          <w:lang w:val="en-US" w:eastAsia="zh-CN"/>
        </w:rPr>
        <w:t>通用指标</w:t>
      </w:r>
      <w:r>
        <w:rPr>
          <w:rFonts w:hint="default" w:ascii="楷体_GB2312" w:hAnsi="宋体" w:eastAsia="楷体_GB2312" w:cs="Times New Roman"/>
          <w:b/>
          <w:color w:val="auto"/>
          <w:sz w:val="32"/>
          <w:szCs w:val="32"/>
          <w:highlight w:val="none"/>
          <w:u w:val="none"/>
          <w:lang w:val="zh-CN" w:eastAsia="zh-CN"/>
        </w:rPr>
        <w:t>绩效分析。</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项目决策</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①决策程序</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决策程序项目设立、调整延续等方面符合资金管理基本规范和决策程序要求。虽然具体决策流程未在资料中明确列出，但可以推断该决策程序符合政策导向和实际需求，确保了项目的合法性和合规性。得分：6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②规划论证</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项目虽为阶段项目，但目标清晰，即为做好康养宣传工作。资料中未提及具体的规划论证过程，但项目目标明确，与康养宣传工作的整体规划和政策要求相契合。得分：6分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③资金投向</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项目资金全部来源于财政拨款，总额为69.93万元，专门用于</w:t>
      </w:r>
      <w:r>
        <w:rPr>
          <w:rFonts w:hint="default" w:ascii="仿宋_GB2312" w:hAnsi="仿宋_GB2312" w:eastAsia="仿宋_GB2312" w:cs="仿宋_GB2312"/>
          <w:sz w:val="32"/>
          <w:szCs w:val="32"/>
          <w:lang w:val="en-US" w:eastAsia="zh-CN"/>
        </w:rPr>
        <w:t>第五届中国（四川）国际养老服务业暨养老产业博览会</w:t>
      </w:r>
      <w:r>
        <w:rPr>
          <w:rFonts w:hint="eastAsia" w:ascii="仿宋_GB2312" w:hAnsi="仿宋_GB2312" w:eastAsia="仿宋_GB2312" w:cs="仿宋_GB2312"/>
          <w:sz w:val="32"/>
          <w:szCs w:val="32"/>
          <w:lang w:val="en-US" w:eastAsia="zh-CN"/>
        </w:rPr>
        <w:t>经费。资金投向明确，符合项目规划和政策要求。得分：6分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项目决策绩效得分：18分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项目管理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①制度办法</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资料中未明确提及具体的制度办法，但可以推断项目在实施过程中遵循了广元市委、市政府以及相关部门关于财政资金管理等方面的制度规定。得分：2分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②分配管理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金分配因素选取较为全面的考虑相关行业事业发展实际和发展需求，权重设置有效突出项目实施重点；区域分布结果公平较为合理。资金分配管理遵循了财政资金管理原则，确保了资金的合理分配和有效使用。得分：8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③绩效监管</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虽然具体绩效监管措施未在资料中明确列出，但项目在实施过程中必然接受了相关部门和单位的监督和检查，以确保项目目标的实现和资金的有效使用。得分：5分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项目管理绩效得分：15分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3.项目实施</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①预算执行</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项目资金全部为财政拨款，预算执行情况良好。虽然具体预算执行数据未在资料中明确列出，但根据项目目标和资金总额，以及项目实际完成情况，可以推断预算执行是符合计划要求的。</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得分：5分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②资金使用</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项目资金使用符合规划论证和决策程序的要求，专门用于</w:t>
      </w:r>
      <w:r>
        <w:rPr>
          <w:rFonts w:hint="default" w:ascii="仿宋_GB2312" w:hAnsi="仿宋_GB2312" w:eastAsia="仿宋_GB2312" w:cs="仿宋_GB2312"/>
          <w:sz w:val="32"/>
          <w:szCs w:val="32"/>
          <w:lang w:val="en-US" w:eastAsia="zh-CN"/>
        </w:rPr>
        <w:t>第五届中国（四川）国际养老服务业暨养老产业博览会</w:t>
      </w:r>
      <w:r>
        <w:rPr>
          <w:rFonts w:hint="eastAsia" w:ascii="仿宋_GB2312" w:hAnsi="仿宋_GB2312" w:eastAsia="仿宋_GB2312" w:cs="仿宋_GB2312"/>
          <w:sz w:val="32"/>
          <w:szCs w:val="32"/>
          <w:lang w:val="en-US" w:eastAsia="zh-CN"/>
        </w:rPr>
        <w:t>经费。资金使用过程中遵循了财政资金管理原则，确保了资金的合规性和有效性。得分：3分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项目实施绩效得分：8分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4.项目结果</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①目标完成</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项目目标完成情况良好。根据资料中的数据，项目实际完成的</w:t>
      </w:r>
      <w:r>
        <w:rPr>
          <w:rFonts w:hint="default" w:ascii="仿宋_GB2312" w:hAnsi="仿宋_GB2312" w:eastAsia="仿宋_GB2312" w:cs="仿宋_GB2312"/>
          <w:sz w:val="32"/>
          <w:szCs w:val="32"/>
          <w:lang w:val="en-US" w:eastAsia="zh-CN"/>
        </w:rPr>
        <w:t>组织人员参与</w:t>
      </w:r>
      <w:r>
        <w:rPr>
          <w:rFonts w:hint="eastAsia" w:ascii="仿宋_GB2312" w:hAnsi="仿宋_GB2312" w:eastAsia="仿宋_GB2312" w:cs="仿宋_GB2312"/>
          <w:sz w:val="32"/>
          <w:szCs w:val="32"/>
          <w:lang w:val="en-US" w:eastAsia="zh-CN"/>
        </w:rPr>
        <w:t>人数30人、</w:t>
      </w:r>
      <w:r>
        <w:rPr>
          <w:rFonts w:hint="default" w:ascii="仿宋_GB2312" w:hAnsi="仿宋_GB2312" w:eastAsia="仿宋_GB2312" w:cs="仿宋_GB2312"/>
          <w:sz w:val="32"/>
          <w:szCs w:val="32"/>
          <w:lang w:val="en-US" w:eastAsia="zh-CN"/>
        </w:rPr>
        <w:t>宣传广元养老发展成效，推荐广元养老项目，招引企业来广投资</w:t>
      </w:r>
      <w:r>
        <w:rPr>
          <w:rFonts w:hint="eastAsia" w:ascii="仿宋_GB2312" w:hAnsi="仿宋_GB2312" w:eastAsia="仿宋_GB2312" w:cs="仿宋_GB2312"/>
          <w:sz w:val="32"/>
          <w:szCs w:val="32"/>
          <w:lang w:val="en-US" w:eastAsia="zh-CN"/>
        </w:rPr>
        <w:t>、完成时间等指标均超过了预期目标值。得分：6分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②完成时效</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项目在规定的时间内顺利完成，确保了困难群众的救助。虽然具体完成时效数据未在资料中明确列出，但根据项目目标和实际情况，可以推断项目完成时效是符合要求的。得分：3分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项目结果绩效得分：9分</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rPr>
          <w:rFonts w:hint="default" w:ascii="楷体_GB2312" w:hAnsi="宋体" w:eastAsia="楷体_GB2312" w:cs="Times New Roman"/>
          <w:b/>
          <w:color w:val="auto"/>
          <w:sz w:val="32"/>
          <w:szCs w:val="32"/>
          <w:highlight w:val="none"/>
          <w:u w:val="none"/>
          <w:lang w:val="en-US" w:eastAsia="zh-CN"/>
        </w:rPr>
      </w:pPr>
      <w:r>
        <w:rPr>
          <w:rFonts w:hint="default" w:ascii="楷体_GB2312" w:hAnsi="宋体" w:eastAsia="楷体_GB2312" w:cs="Times New Roman"/>
          <w:b/>
          <w:color w:val="auto"/>
          <w:sz w:val="32"/>
          <w:szCs w:val="32"/>
          <w:highlight w:val="none"/>
          <w:u w:val="none"/>
          <w:lang w:val="zh-CN" w:eastAsia="zh-CN"/>
        </w:rPr>
        <w:t>（二）</w:t>
      </w:r>
      <w:r>
        <w:rPr>
          <w:rFonts w:hint="default" w:ascii="楷体_GB2312" w:hAnsi="宋体" w:eastAsia="楷体_GB2312" w:cs="Times New Roman"/>
          <w:b/>
          <w:color w:val="auto"/>
          <w:sz w:val="32"/>
          <w:szCs w:val="32"/>
          <w:highlight w:val="none"/>
          <w:u w:val="none"/>
          <w:lang w:val="en-US" w:eastAsia="zh-CN"/>
        </w:rPr>
        <w:t>专用指标</w:t>
      </w:r>
      <w:r>
        <w:rPr>
          <w:rFonts w:hint="default" w:ascii="楷体_GB2312" w:hAnsi="宋体" w:eastAsia="楷体_GB2312" w:cs="Times New Roman"/>
          <w:b/>
          <w:color w:val="auto"/>
          <w:sz w:val="32"/>
          <w:szCs w:val="32"/>
          <w:highlight w:val="none"/>
          <w:u w:val="none"/>
          <w:lang w:val="zh-CN" w:eastAsia="zh-CN"/>
        </w:rPr>
        <w:t>绩效分析</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1.产业发展。</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该项目实施符合市委市政府政策支持，但与相关企业成长性、经济性是否有促进作用无关，不对该项指标评分。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民生保障。</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该项目非民生保障项目，不对该项指标评分。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3.基础设施。</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该项目非基础设施项目，不对该项指标评分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行政运转。</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该项目按规定用途、适用范围分配，符合专项资金管理要求，管理程序合规、资金分配标准合规，该指标绩效自评得分</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lang w:val="zh-CN" w:eastAsia="zh-CN"/>
        </w:rPr>
        <w:t>分</w:t>
      </w:r>
    </w:p>
    <w:p>
      <w:pPr>
        <w:pStyle w:val="2"/>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四</w:t>
      </w:r>
      <w:r>
        <w:rPr>
          <w:rFonts w:hint="eastAsia" w:ascii="黑体" w:hAnsi="黑体" w:eastAsia="黑体" w:cs="黑体"/>
          <w:b w:val="0"/>
          <w:bCs w:val="0"/>
          <w:color w:val="auto"/>
          <w:sz w:val="32"/>
          <w:szCs w:val="32"/>
          <w:highlight w:val="none"/>
          <w:u w:val="none"/>
        </w:rPr>
        <w:t>、评价结论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本项目综合评价得分为‌9</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zh-CN" w:eastAsia="zh-CN"/>
        </w:rPr>
        <w:t>分‌，各项绩效指标均全面完成，部分指标超额实现。</w:t>
      </w:r>
    </w:p>
    <w:p>
      <w:pPr>
        <w:pStyle w:val="2"/>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资金使用效率有待提升，部分资金未完全按计划执行，需加强预算管控。</w:t>
      </w:r>
    </w:p>
    <w:p>
      <w:pPr>
        <w:pStyle w:val="2"/>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auto"/>
          <w:kern w:val="0"/>
          <w:position w:val="3"/>
          <w:sz w:val="32"/>
          <w:szCs w:val="32"/>
          <w:highlight w:val="none"/>
          <w:u w:val="none"/>
          <w:lang w:val="zh-CN" w:eastAsia="zh-CN" w:bidi="ar-SA"/>
        </w:rPr>
      </w:pPr>
      <w:r>
        <w:rPr>
          <w:rFonts w:hint="eastAsia" w:ascii="黑体" w:hAnsi="黑体" w:eastAsia="黑体" w:cs="黑体"/>
          <w:b w:val="0"/>
          <w:bCs w:val="0"/>
          <w:color w:val="auto"/>
          <w:kern w:val="0"/>
          <w:position w:val="3"/>
          <w:sz w:val="32"/>
          <w:szCs w:val="32"/>
          <w:highlight w:val="none"/>
          <w:u w:val="none"/>
          <w:lang w:val="zh-CN" w:eastAsia="zh-CN" w:bidi="ar-SA"/>
        </w:rPr>
        <w:t>六、改进建议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加强预算管理</w:t>
      </w:r>
      <w:r>
        <w:rPr>
          <w:rFonts w:hint="eastAsia" w:ascii="仿宋_GB2312" w:hAnsi="仿宋_GB2312" w:eastAsia="仿宋_GB2312" w:cs="仿宋_GB2312"/>
          <w:sz w:val="32"/>
          <w:szCs w:val="32"/>
          <w:lang w:val="en-US" w:eastAsia="zh-CN"/>
        </w:rPr>
        <w:t>.</w:t>
      </w:r>
    </w:p>
    <w:p>
      <w:pPr>
        <w:spacing w:line="520" w:lineRule="exact"/>
        <w:ind w:firstLine="640" w:firstLineChars="200"/>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titlePg/>
          <w:docGrid w:type="lines" w:linePitch="312" w:charSpace="0"/>
        </w:sectPr>
      </w:pPr>
    </w:p>
    <w:p>
      <w:pPr>
        <w:pStyle w:val="47"/>
        <w:keepNext w:val="0"/>
        <w:keepLines w:val="0"/>
        <w:pageBreakBefore w:val="0"/>
        <w:widowControl w:val="0"/>
        <w:kinsoku/>
        <w:wordWrap/>
        <w:overflowPunct/>
        <w:topLinePunct w:val="0"/>
        <w:autoSpaceDE/>
        <w:autoSpaceDN/>
        <w:bidi w:val="0"/>
        <w:spacing w:line="576" w:lineRule="exact"/>
        <w:ind w:left="0" w:leftChars="0" w:firstLine="880" w:firstLineChars="200"/>
        <w:jc w:val="center"/>
        <w:textAlignment w:val="auto"/>
        <w:rPr>
          <w:rFonts w:hint="default" w:ascii="Times New Roman" w:hAnsi="Times New Roman" w:eastAsia="方正小标宋简体" w:cs="Times New Roman"/>
          <w:color w:val="auto"/>
          <w:kern w:val="2"/>
          <w:sz w:val="44"/>
          <w:szCs w:val="44"/>
          <w:highlight w:val="none"/>
          <w:lang w:val="en-US" w:eastAsia="zh-CN"/>
        </w:rPr>
      </w:pPr>
      <w:r>
        <w:rPr>
          <w:rFonts w:hint="eastAsia" w:ascii="Times New Roman" w:hAnsi="Times New Roman" w:eastAsia="方正小标宋简体" w:cs="Times New Roman"/>
          <w:color w:val="auto"/>
          <w:kern w:val="2"/>
          <w:sz w:val="44"/>
          <w:szCs w:val="44"/>
          <w:highlight w:val="none"/>
          <w:lang w:val="en-US" w:eastAsia="zh-CN"/>
        </w:rPr>
        <w:t>人才安家补助</w:t>
      </w:r>
      <w:r>
        <w:rPr>
          <w:rFonts w:hint="default" w:ascii="Times New Roman" w:hAnsi="Times New Roman" w:eastAsia="方正小标宋简体" w:cs="Times New Roman"/>
          <w:color w:val="auto"/>
          <w:kern w:val="2"/>
          <w:sz w:val="44"/>
          <w:szCs w:val="44"/>
          <w:highlight w:val="none"/>
          <w:lang w:val="en-US" w:eastAsia="zh-CN"/>
        </w:rPr>
        <w:t>专项预算绩效自评报告</w:t>
      </w:r>
    </w:p>
    <w:p>
      <w:pPr>
        <w:pStyle w:val="47"/>
        <w:keepNext w:val="0"/>
        <w:keepLines w:val="0"/>
        <w:pageBreakBefore w:val="0"/>
        <w:widowControl w:val="0"/>
        <w:kinsoku/>
        <w:wordWrap/>
        <w:overflowPunct/>
        <w:topLinePunct w:val="0"/>
        <w:autoSpaceDE/>
        <w:autoSpaceDN/>
        <w:bidi w:val="0"/>
        <w:spacing w:line="576" w:lineRule="exact"/>
        <w:ind w:left="0" w:leftChars="0" w:firstLine="640" w:firstLineChars="200"/>
        <w:jc w:val="center"/>
        <w:textAlignment w:val="auto"/>
        <w:rPr>
          <w:rFonts w:hint="default" w:ascii="Times New Roman" w:hAnsi="Times New Roman" w:cs="Times New Roman"/>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（一）设立背景及基本情况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项目设立原因及背景</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高层次人才安家补助和工作补助</w:t>
      </w:r>
      <w:r>
        <w:rPr>
          <w:rFonts w:hint="default" w:ascii="仿宋_GB2312" w:hAnsi="仿宋_GB2312" w:eastAsia="仿宋_GB2312" w:cs="仿宋_GB2312"/>
          <w:sz w:val="32"/>
          <w:szCs w:val="32"/>
          <w:lang w:val="zh-CN" w:eastAsia="zh-CN"/>
        </w:rPr>
        <w:t>设立原因</w:t>
      </w:r>
      <w:r>
        <w:rPr>
          <w:rFonts w:hint="eastAsia" w:ascii="仿宋_GB2312" w:hAnsi="仿宋_GB2312" w:eastAsia="仿宋_GB2312" w:cs="仿宋_GB2312"/>
          <w:sz w:val="32"/>
          <w:szCs w:val="32"/>
          <w:lang w:val="en-US" w:eastAsia="zh-CN"/>
        </w:rPr>
        <w:t>是通过经济激励与配套服务，解决人才流动中的“成本障碍”和“发展顾虑”，同时引导人才分布与地方战略需求深度契合。‌</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zh-CN" w:eastAsia="zh-CN"/>
        </w:rPr>
        <w:t>项目立项、资金申报的依据</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项目立项依据‌：</w:t>
      </w:r>
      <w:r>
        <w:rPr>
          <w:rFonts w:hint="default" w:ascii="仿宋_GB2312" w:hAnsi="仿宋_GB2312" w:eastAsia="仿宋_GB2312" w:cs="仿宋_GB2312"/>
          <w:sz w:val="32"/>
          <w:szCs w:val="32"/>
          <w:lang w:val="en-US" w:eastAsia="zh-CN"/>
        </w:rPr>
        <w:t>国家及地方人才战略导向</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地方发展迫切需求</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政策文件支撑</w:t>
      </w:r>
      <w:r>
        <w:rPr>
          <w:rFonts w:hint="eastAsia" w:ascii="仿宋_GB2312" w:hAnsi="仿宋_GB2312" w:eastAsia="仿宋_GB2312" w:cs="仿宋_GB2312"/>
          <w:sz w:val="32"/>
          <w:szCs w:val="32"/>
          <w:lang w:val="en-US"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zh-CN" w:eastAsia="zh-CN"/>
        </w:rPr>
        <w:t>资金申报依据‌：资金申报则根据项目预算和实际需求，按照财政部门的资金管理规定和程序进行。申报过程中，需详细说明项目目的、预期效果、资金需求及使用计划等，以确保资金的合理性和有效性。</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zh-CN" w:eastAsia="zh-CN"/>
        </w:rPr>
        <w:t>项目主要内容</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w:t>
      </w:r>
      <w:r>
        <w:rPr>
          <w:rFonts w:hint="default" w:ascii="仿宋_GB2312" w:hAnsi="仿宋_GB2312" w:eastAsia="仿宋_GB2312" w:cs="仿宋_GB2312"/>
          <w:sz w:val="32"/>
          <w:szCs w:val="32"/>
          <w:lang w:val="en-US" w:eastAsia="zh-CN"/>
        </w:rPr>
        <w:t>内容为高层次人才安家补助和工作补助的发放。</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zh-CN" w:eastAsia="zh-CN"/>
        </w:rPr>
        <w:t>主管部门职能</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广元市民政局作为主管部门作为项目核心责任主体，需贯穿“政策制定—资金监管—服务保障—效果评估”全链条职能，通过精准施策、严格审核、资源整合及动态优化，确保补助资金高效转化为人才吸引力和区域竞争力，助力实现“引才留才用才”目标。</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（二）</w:t>
      </w:r>
      <w:r>
        <w:rPr>
          <w:rFonts w:hint="default" w:ascii="楷体_GB2312" w:hAnsi="宋体" w:eastAsia="楷体_GB2312" w:cs="Times New Roman"/>
          <w:b/>
          <w:color w:val="auto"/>
          <w:sz w:val="32"/>
          <w:szCs w:val="32"/>
          <w:highlight w:val="none"/>
          <w:u w:val="none"/>
          <w:lang w:val="en-US" w:eastAsia="zh-CN"/>
        </w:rPr>
        <w:t>实施目的及支持方向</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项目资金</w:t>
      </w:r>
      <w:r>
        <w:rPr>
          <w:rFonts w:hint="default" w:ascii="仿宋_GB2312" w:hAnsi="仿宋_GB2312" w:eastAsia="仿宋_GB2312" w:cs="仿宋_GB2312"/>
          <w:sz w:val="32"/>
          <w:szCs w:val="32"/>
          <w:lang w:val="zh-CN" w:eastAsia="zh-CN"/>
        </w:rPr>
        <w:t>管理办法制定情况，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zh-CN" w:eastAsia="zh-CN"/>
        </w:rPr>
        <w:t>该项目资金严格按照财务管理相关规定进行管理，确保专款专用，项目资金的管理遵循了既定的规则和程序，特别是明确了资金作为</w:t>
      </w:r>
      <w:r>
        <w:rPr>
          <w:rFonts w:hint="eastAsia" w:ascii="仿宋_GB2312" w:hAnsi="仿宋_GB2312" w:eastAsia="仿宋_GB2312" w:cs="仿宋_GB2312"/>
          <w:sz w:val="32"/>
          <w:szCs w:val="32"/>
          <w:lang w:val="en-US" w:eastAsia="zh-CN"/>
        </w:rPr>
        <w:t>市民政局高层次人才安家补助和工作</w:t>
      </w:r>
      <w:r>
        <w:rPr>
          <w:rFonts w:hint="default" w:ascii="仿宋_GB2312" w:hAnsi="仿宋_GB2312" w:eastAsia="仿宋_GB2312" w:cs="仿宋_GB2312"/>
          <w:sz w:val="32"/>
          <w:szCs w:val="32"/>
          <w:lang w:val="zh-CN" w:eastAsia="zh-CN"/>
        </w:rPr>
        <w:t>经费的使用范围，体现了资金管理的规范性和针对性。</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zh-CN" w:eastAsia="zh-CN"/>
        </w:rPr>
        <w:t>项目实施目的和主要工作任务，</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项目实施目的：针对区域高层次人才“引进难、留住难”问题，通过提供</w:t>
      </w:r>
      <w:r>
        <w:rPr>
          <w:rFonts w:hint="default" w:ascii="仿宋_GB2312" w:hAnsi="仿宋_GB2312" w:eastAsia="仿宋_GB2312" w:cs="仿宋_GB2312"/>
          <w:sz w:val="32"/>
          <w:szCs w:val="32"/>
          <w:lang w:val="en-US" w:eastAsia="zh-CN"/>
        </w:rPr>
        <w:t>有竞争力的安家补助</w:t>
      </w:r>
      <w:r>
        <w:rPr>
          <w:rFonts w:hint="eastAsia" w:ascii="仿宋_GB2312" w:hAnsi="仿宋_GB2312" w:eastAsia="仿宋_GB2312" w:cs="仿宋_GB2312"/>
          <w:sz w:val="32"/>
          <w:szCs w:val="32"/>
          <w:lang w:val="en-US"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主要工作任务：</w:t>
      </w:r>
      <w:r>
        <w:rPr>
          <w:rFonts w:hint="default" w:ascii="仿宋_GB2312" w:hAnsi="仿宋_GB2312" w:eastAsia="仿宋_GB2312" w:cs="仿宋_GB2312"/>
          <w:sz w:val="32"/>
          <w:szCs w:val="32"/>
          <w:lang w:val="zh-CN" w:eastAsia="zh-CN"/>
        </w:rPr>
        <w:t>确保项目资金按时到位，并根据实际情况合理分配，确保每位符合条件的</w:t>
      </w:r>
      <w:r>
        <w:rPr>
          <w:rFonts w:hint="eastAsia" w:ascii="仿宋_GB2312" w:hAnsi="仿宋_GB2312" w:eastAsia="仿宋_GB2312" w:cs="仿宋_GB2312"/>
          <w:sz w:val="32"/>
          <w:szCs w:val="32"/>
          <w:lang w:val="en-US" w:eastAsia="zh-CN"/>
        </w:rPr>
        <w:t>高层次人才</w:t>
      </w:r>
      <w:r>
        <w:rPr>
          <w:rFonts w:hint="default" w:ascii="仿宋_GB2312" w:hAnsi="仿宋_GB2312" w:eastAsia="仿宋_GB2312" w:cs="仿宋_GB2312"/>
          <w:sz w:val="32"/>
          <w:szCs w:val="32"/>
          <w:lang w:val="zh-CN" w:eastAsia="zh-CN"/>
        </w:rPr>
        <w:t>都能得到</w:t>
      </w:r>
      <w:r>
        <w:rPr>
          <w:rFonts w:hint="eastAsia" w:ascii="仿宋_GB2312" w:hAnsi="仿宋_GB2312" w:eastAsia="仿宋_GB2312" w:cs="仿宋_GB2312"/>
          <w:sz w:val="32"/>
          <w:szCs w:val="32"/>
          <w:lang w:val="en-US" w:eastAsia="zh-CN"/>
        </w:rPr>
        <w:t>补助</w:t>
      </w:r>
      <w:r>
        <w:rPr>
          <w:rFonts w:hint="default"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zh-CN" w:eastAsia="zh-CN"/>
        </w:rPr>
        <w:t>项目支持方向。</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生活待遇‌：高层次人才在认定后即可享受相应的生活待遇，包括安家补助等‌</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‌晋级奖励‌：对于在认期内晋级的高层次人才，可以获得一次性奖励</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荣誉奖励‌：对于新取得荣誉称号或所承担科研项目获得奖项的高层次人才，可以获得一次性奖励，奖励金额根据具体情况而定‌</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住房保障‌：提供人才公寓等住房保障措施，面向符合条件的高层次人才出租或提供其他住房解决方案‌</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zh-CN" w:eastAsia="zh-CN"/>
        </w:rPr>
        <w:t>项目预算安排情况，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高层次人才安家补助作</w:t>
      </w:r>
      <w:r>
        <w:rPr>
          <w:rFonts w:hint="default" w:ascii="仿宋_GB2312" w:hAnsi="仿宋_GB2312" w:eastAsia="仿宋_GB2312" w:cs="仿宋_GB2312"/>
          <w:sz w:val="32"/>
          <w:szCs w:val="32"/>
          <w:lang w:val="zh-CN" w:eastAsia="zh-CN"/>
        </w:rPr>
        <w:t>为</w:t>
      </w:r>
      <w:r>
        <w:rPr>
          <w:rFonts w:hint="eastAsia" w:ascii="仿宋_GB2312" w:hAnsi="仿宋_GB2312" w:eastAsia="仿宋_GB2312" w:cs="仿宋_GB2312"/>
          <w:sz w:val="32"/>
          <w:szCs w:val="32"/>
          <w:lang w:val="en-US" w:eastAsia="zh-CN"/>
        </w:rPr>
        <w:t>延续性</w:t>
      </w:r>
      <w:r>
        <w:rPr>
          <w:rFonts w:hint="default" w:ascii="仿宋_GB2312" w:hAnsi="仿宋_GB2312" w:eastAsia="仿宋_GB2312" w:cs="仿宋_GB2312"/>
          <w:sz w:val="32"/>
          <w:szCs w:val="32"/>
          <w:lang w:val="zh-CN" w:eastAsia="zh-CN"/>
        </w:rPr>
        <w:t>项目，项目起止年限</w:t>
      </w:r>
      <w:r>
        <w:rPr>
          <w:rFonts w:hint="eastAsia" w:ascii="仿宋_GB2312" w:hAnsi="仿宋_GB2312" w:eastAsia="仿宋_GB2312" w:cs="仿宋_GB2312"/>
          <w:sz w:val="32"/>
          <w:szCs w:val="32"/>
          <w:lang w:val="en-US" w:eastAsia="zh-CN"/>
        </w:rPr>
        <w:t>长期</w:t>
      </w:r>
      <w:r>
        <w:rPr>
          <w:rFonts w:hint="default" w:ascii="仿宋_GB2312" w:hAnsi="仿宋_GB2312" w:eastAsia="仿宋_GB2312" w:cs="仿宋_GB2312"/>
          <w:sz w:val="32"/>
          <w:szCs w:val="32"/>
          <w:lang w:val="zh-CN" w:eastAsia="zh-CN"/>
        </w:rPr>
        <w:t>，即该项目资金专门用于</w:t>
      </w:r>
      <w:r>
        <w:rPr>
          <w:rFonts w:hint="eastAsia" w:ascii="仿宋_GB2312" w:hAnsi="仿宋_GB2312" w:eastAsia="仿宋_GB2312" w:cs="仿宋_GB2312"/>
          <w:sz w:val="32"/>
          <w:szCs w:val="32"/>
          <w:lang w:val="en-US" w:eastAsia="zh-CN"/>
        </w:rPr>
        <w:t>高层次人才工作经费</w:t>
      </w:r>
      <w:r>
        <w:rPr>
          <w:rFonts w:hint="default" w:ascii="仿宋_GB2312" w:hAnsi="仿宋_GB2312" w:eastAsia="仿宋_GB2312" w:cs="仿宋_GB2312"/>
          <w:sz w:val="32"/>
          <w:szCs w:val="32"/>
          <w:lang w:val="zh-CN" w:eastAsia="zh-CN"/>
        </w:rPr>
        <w:t>。年度资金总额为</w:t>
      </w:r>
      <w:r>
        <w:rPr>
          <w:rFonts w:hint="eastAsia" w:ascii="仿宋_GB2312" w:hAnsi="仿宋_GB2312" w:eastAsia="仿宋_GB2312" w:cs="仿宋_GB2312"/>
          <w:sz w:val="32"/>
          <w:szCs w:val="32"/>
          <w:lang w:val="en-US" w:eastAsia="zh-CN"/>
        </w:rPr>
        <w:t>0.60</w:t>
      </w:r>
      <w:r>
        <w:rPr>
          <w:rFonts w:hint="default" w:ascii="仿宋_GB2312" w:hAnsi="仿宋_GB2312" w:eastAsia="仿宋_GB2312" w:cs="仿宋_GB2312"/>
          <w:sz w:val="32"/>
          <w:szCs w:val="32"/>
          <w:lang w:val="zh-CN" w:eastAsia="zh-CN"/>
        </w:rPr>
        <w:t>万元，全部来源于财政拨款</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zh-CN" w:eastAsia="zh-CN"/>
        </w:rPr>
        <w:t>项目资金分配原则及考虑因素，</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分配原则‌：遵循公平、公正、公开的原则，确保资金分配透明、合理</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考虑因素‌：</w:t>
      </w:r>
      <w:r>
        <w:rPr>
          <w:rFonts w:hint="eastAsia" w:ascii="仿宋_GB2312" w:hAnsi="仿宋_GB2312" w:eastAsia="仿宋_GB2312" w:cs="仿宋_GB2312"/>
          <w:sz w:val="32"/>
          <w:szCs w:val="32"/>
          <w:lang w:val="en-US" w:eastAsia="zh-CN"/>
        </w:rPr>
        <w:t>高层次人才</w:t>
      </w:r>
      <w:r>
        <w:rPr>
          <w:rFonts w:hint="default" w:ascii="仿宋_GB2312" w:hAnsi="仿宋_GB2312" w:eastAsia="仿宋_GB2312" w:cs="仿宋_GB2312"/>
          <w:sz w:val="32"/>
          <w:szCs w:val="32"/>
          <w:lang w:val="zh-CN" w:eastAsia="zh-CN"/>
        </w:rPr>
        <w:t>的人数及分布情况，确保每位符合条件的</w:t>
      </w:r>
      <w:r>
        <w:rPr>
          <w:rFonts w:hint="eastAsia" w:ascii="仿宋_GB2312" w:hAnsi="仿宋_GB2312" w:eastAsia="仿宋_GB2312" w:cs="仿宋_GB2312"/>
          <w:sz w:val="32"/>
          <w:szCs w:val="32"/>
          <w:lang w:val="en-US" w:eastAsia="zh-CN"/>
        </w:rPr>
        <w:t>人员</w:t>
      </w:r>
      <w:r>
        <w:rPr>
          <w:rFonts w:hint="default" w:ascii="仿宋_GB2312" w:hAnsi="仿宋_GB2312" w:eastAsia="仿宋_GB2312" w:cs="仿宋_GB2312"/>
          <w:sz w:val="32"/>
          <w:szCs w:val="32"/>
          <w:lang w:val="zh-CN" w:eastAsia="zh-CN"/>
        </w:rPr>
        <w:t>都能得到</w:t>
      </w:r>
      <w:r>
        <w:rPr>
          <w:rFonts w:hint="eastAsia" w:ascii="仿宋_GB2312" w:hAnsi="仿宋_GB2312" w:eastAsia="仿宋_GB2312" w:cs="仿宋_GB2312"/>
          <w:sz w:val="32"/>
          <w:szCs w:val="32"/>
          <w:lang w:val="en-US" w:eastAsia="zh-CN"/>
        </w:rPr>
        <w:t>补助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工作补助</w:t>
      </w:r>
      <w:r>
        <w:rPr>
          <w:rFonts w:hint="default" w:ascii="仿宋_GB2312" w:hAnsi="仿宋_GB2312" w:eastAsia="仿宋_GB2312" w:cs="仿宋_GB2312"/>
          <w:sz w:val="32"/>
          <w:szCs w:val="32"/>
          <w:lang w:val="zh-CN" w:eastAsia="zh-CN"/>
        </w:rPr>
        <w:t>的具体形式和内容，以及所需经费的估算</w:t>
      </w:r>
      <w:r>
        <w:rPr>
          <w:rFonts w:hint="eastAsia"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zh-CN" w:eastAsia="zh-CN"/>
        </w:rPr>
        <w:t>市委、市政府的政策导向和资金安排，确保项目资金与相关政策相符。</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zh-CN" w:eastAsia="zh-CN"/>
        </w:rPr>
        <w:t>项目资金分配情况。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分配对象‌：</w:t>
      </w:r>
      <w:r>
        <w:rPr>
          <w:rFonts w:hint="eastAsia" w:ascii="仿宋_GB2312" w:hAnsi="仿宋_GB2312" w:eastAsia="仿宋_GB2312" w:cs="仿宋_GB2312"/>
          <w:sz w:val="32"/>
          <w:szCs w:val="32"/>
          <w:lang w:val="en-US" w:eastAsia="zh-CN"/>
        </w:rPr>
        <w:t>高层次人才</w:t>
      </w:r>
      <w:r>
        <w:rPr>
          <w:rFonts w:hint="default"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分配方式‌：根据</w:t>
      </w:r>
      <w:r>
        <w:rPr>
          <w:rFonts w:hint="eastAsia" w:ascii="仿宋_GB2312" w:hAnsi="仿宋_GB2312" w:eastAsia="仿宋_GB2312" w:cs="仿宋_GB2312"/>
          <w:sz w:val="32"/>
          <w:szCs w:val="32"/>
          <w:lang w:val="en-US" w:eastAsia="zh-CN"/>
        </w:rPr>
        <w:t>高层次人才</w:t>
      </w:r>
      <w:r>
        <w:rPr>
          <w:rFonts w:hint="default" w:ascii="仿宋_GB2312" w:hAnsi="仿宋_GB2312" w:eastAsia="仿宋_GB2312" w:cs="仿宋_GB2312"/>
          <w:sz w:val="32"/>
          <w:szCs w:val="32"/>
          <w:lang w:val="zh-CN" w:eastAsia="zh-CN"/>
        </w:rPr>
        <w:t>的人数和实际需求，将资金按照一定比例或标准分配到各个</w:t>
      </w:r>
      <w:r>
        <w:rPr>
          <w:rFonts w:hint="eastAsia" w:ascii="仿宋_GB2312" w:hAnsi="仿宋_GB2312" w:eastAsia="仿宋_GB2312" w:cs="仿宋_GB2312"/>
          <w:sz w:val="32"/>
          <w:szCs w:val="32"/>
          <w:lang w:val="en-US" w:eastAsia="zh-CN"/>
        </w:rPr>
        <w:t>补助对象</w:t>
      </w:r>
      <w:r>
        <w:rPr>
          <w:rFonts w:hint="eastAsia"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zh-CN" w:eastAsia="zh-CN"/>
        </w:rPr>
        <w:t>确保每位</w:t>
      </w:r>
      <w:r>
        <w:rPr>
          <w:rFonts w:hint="eastAsia" w:ascii="仿宋_GB2312" w:hAnsi="仿宋_GB2312" w:eastAsia="仿宋_GB2312" w:cs="仿宋_GB2312"/>
          <w:sz w:val="32"/>
          <w:szCs w:val="32"/>
          <w:lang w:val="en-US" w:eastAsia="zh-CN"/>
        </w:rPr>
        <w:t>补助</w:t>
      </w:r>
      <w:r>
        <w:rPr>
          <w:rFonts w:hint="default" w:ascii="仿宋_GB2312" w:hAnsi="仿宋_GB2312" w:eastAsia="仿宋_GB2312" w:cs="仿宋_GB2312"/>
          <w:sz w:val="32"/>
          <w:szCs w:val="32"/>
          <w:lang w:val="zh-CN" w:eastAsia="zh-CN"/>
        </w:rPr>
        <w:t>对象都能获得一定金额的</w:t>
      </w:r>
      <w:r>
        <w:rPr>
          <w:rFonts w:hint="eastAsia" w:ascii="仿宋_GB2312" w:hAnsi="仿宋_GB2312" w:eastAsia="仿宋_GB2312" w:cs="仿宋_GB2312"/>
          <w:sz w:val="32"/>
          <w:szCs w:val="32"/>
          <w:lang w:val="en-US" w:eastAsia="zh-CN"/>
        </w:rPr>
        <w:t>补助</w:t>
      </w:r>
      <w:r>
        <w:rPr>
          <w:rFonts w:hint="default"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分配结果‌：实际完成指标显示，</w:t>
      </w:r>
      <w:r>
        <w:rPr>
          <w:rFonts w:hint="eastAsia" w:ascii="仿宋_GB2312" w:hAnsi="仿宋_GB2312" w:eastAsia="仿宋_GB2312" w:cs="仿宋_GB2312"/>
          <w:sz w:val="32"/>
          <w:szCs w:val="32"/>
          <w:lang w:val="en-US" w:eastAsia="zh-CN"/>
        </w:rPr>
        <w:t>发放人数1人，按时足额发放，</w:t>
      </w:r>
      <w:r>
        <w:rPr>
          <w:rFonts w:hint="default" w:ascii="仿宋_GB2312" w:hAnsi="仿宋_GB2312" w:eastAsia="仿宋_GB2312" w:cs="仿宋_GB2312"/>
          <w:sz w:val="32"/>
          <w:szCs w:val="32"/>
          <w:lang w:val="zh-CN" w:eastAsia="zh-CN"/>
        </w:rPr>
        <w:t>表明资金分配基本覆盖了所有符合条件的</w:t>
      </w:r>
      <w:r>
        <w:rPr>
          <w:rFonts w:hint="eastAsia" w:ascii="仿宋_GB2312" w:hAnsi="仿宋_GB2312" w:eastAsia="仿宋_GB2312" w:cs="仿宋_GB2312"/>
          <w:sz w:val="32"/>
          <w:szCs w:val="32"/>
          <w:lang w:val="en-US" w:eastAsia="zh-CN"/>
        </w:rPr>
        <w:t>人员</w:t>
      </w:r>
      <w:r>
        <w:rPr>
          <w:rFonts w:hint="default" w:ascii="仿宋_GB2312" w:hAnsi="仿宋_GB2312" w:eastAsia="仿宋_GB2312" w:cs="仿宋_GB2312"/>
          <w:sz w:val="32"/>
          <w:szCs w:val="32"/>
          <w:lang w:val="zh-CN" w:eastAsia="zh-CN"/>
        </w:rPr>
        <w:t>，说明资金分配得到了及时有效的执行。</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（四）项目绩效目标设置</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zh-CN" w:eastAsia="zh-CN"/>
        </w:rPr>
        <w:t>项目整体</w:t>
      </w:r>
      <w:r>
        <w:rPr>
          <w:rFonts w:hint="eastAsia" w:ascii="仿宋_GB2312" w:hAnsi="仿宋_GB2312" w:eastAsia="仿宋_GB2312" w:cs="仿宋_GB2312"/>
          <w:sz w:val="32"/>
          <w:szCs w:val="32"/>
          <w:lang w:val="en-US" w:eastAsia="zh-CN"/>
        </w:rPr>
        <w:t>绩效指标</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zh-CN" w:eastAsia="zh-CN"/>
        </w:rPr>
        <w:t>该项目为广元市</w:t>
      </w:r>
      <w:r>
        <w:rPr>
          <w:rFonts w:hint="eastAsia" w:ascii="仿宋_GB2312" w:hAnsi="仿宋_GB2312" w:eastAsia="仿宋_GB2312" w:cs="仿宋_GB2312"/>
          <w:sz w:val="32"/>
          <w:szCs w:val="32"/>
          <w:lang w:val="en-US" w:eastAsia="zh-CN"/>
        </w:rPr>
        <w:t>民政局</w:t>
      </w:r>
      <w:r>
        <w:rPr>
          <w:rFonts w:hint="default" w:ascii="仿宋_GB2312" w:hAnsi="仿宋_GB2312" w:eastAsia="仿宋_GB2312" w:cs="仿宋_GB2312"/>
          <w:sz w:val="32"/>
          <w:szCs w:val="32"/>
          <w:lang w:val="zh-CN" w:eastAsia="zh-CN"/>
        </w:rPr>
        <w:t>负责的“</w:t>
      </w:r>
      <w:r>
        <w:rPr>
          <w:rFonts w:hint="eastAsia" w:ascii="仿宋_GB2312" w:hAnsi="仿宋_GB2312" w:eastAsia="仿宋_GB2312" w:cs="仿宋_GB2312"/>
          <w:sz w:val="32"/>
          <w:szCs w:val="32"/>
          <w:lang w:val="en-US" w:eastAsia="zh-CN"/>
        </w:rPr>
        <w:t>高层次人才安家补助和工作经费</w:t>
      </w:r>
      <w:r>
        <w:rPr>
          <w:rFonts w:hint="default" w:ascii="仿宋_GB2312" w:hAnsi="仿宋_GB2312" w:eastAsia="仿宋_GB2312" w:cs="仿宋_GB2312"/>
          <w:sz w:val="32"/>
          <w:szCs w:val="32"/>
          <w:lang w:val="zh-CN" w:eastAsia="zh-CN"/>
        </w:rPr>
        <w:t>”项目，属于部门项目，为</w:t>
      </w:r>
      <w:r>
        <w:rPr>
          <w:rFonts w:hint="eastAsia" w:ascii="仿宋_GB2312" w:hAnsi="仿宋_GB2312" w:eastAsia="仿宋_GB2312" w:cs="仿宋_GB2312"/>
          <w:sz w:val="32"/>
          <w:szCs w:val="32"/>
          <w:lang w:val="en-US" w:eastAsia="zh-CN"/>
        </w:rPr>
        <w:t>延续性</w:t>
      </w:r>
      <w:r>
        <w:rPr>
          <w:rFonts w:hint="default" w:ascii="仿宋_GB2312" w:hAnsi="仿宋_GB2312" w:eastAsia="仿宋_GB2312" w:cs="仿宋_GB2312"/>
          <w:sz w:val="32"/>
          <w:szCs w:val="32"/>
          <w:lang w:val="zh-CN" w:eastAsia="zh-CN"/>
        </w:rPr>
        <w:t>项目，项目周期为</w:t>
      </w:r>
      <w:r>
        <w:rPr>
          <w:rFonts w:hint="eastAsia" w:ascii="仿宋_GB2312" w:hAnsi="仿宋_GB2312" w:eastAsia="仿宋_GB2312" w:cs="仿宋_GB2312"/>
          <w:sz w:val="32"/>
          <w:szCs w:val="32"/>
          <w:lang w:val="en-US" w:eastAsia="zh-CN"/>
        </w:rPr>
        <w:t>长期</w:t>
      </w:r>
      <w:r>
        <w:rPr>
          <w:rFonts w:hint="default" w:ascii="仿宋_GB2312" w:hAnsi="仿宋_GB2312" w:eastAsia="仿宋_GB2312" w:cs="仿宋_GB2312"/>
          <w:sz w:val="32"/>
          <w:szCs w:val="32"/>
          <w:lang w:val="zh-CN" w:eastAsia="zh-CN"/>
        </w:rPr>
        <w:t>。项目资金总额为</w:t>
      </w:r>
      <w:r>
        <w:rPr>
          <w:rFonts w:hint="eastAsia" w:ascii="仿宋_GB2312" w:hAnsi="仿宋_GB2312" w:eastAsia="仿宋_GB2312" w:cs="仿宋_GB2312"/>
          <w:sz w:val="32"/>
          <w:szCs w:val="32"/>
          <w:lang w:val="en-US" w:eastAsia="zh-CN"/>
        </w:rPr>
        <w:t>0.60</w:t>
      </w:r>
      <w:r>
        <w:rPr>
          <w:rFonts w:hint="default" w:ascii="仿宋_GB2312" w:hAnsi="仿宋_GB2312" w:eastAsia="仿宋_GB2312" w:cs="仿宋_GB2312"/>
          <w:sz w:val="32"/>
          <w:szCs w:val="32"/>
          <w:lang w:val="zh-CN" w:eastAsia="zh-CN"/>
        </w:rPr>
        <w:t>万元，全部为财政拨款</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zh-CN" w:eastAsia="zh-CN"/>
        </w:rPr>
        <w:t>具体绩效目标设置情况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数量指标‌：</w:t>
      </w:r>
      <w:r>
        <w:rPr>
          <w:rFonts w:hint="default" w:ascii="仿宋_GB2312" w:hAnsi="仿宋_GB2312" w:eastAsia="仿宋_GB2312" w:cs="仿宋_GB2312"/>
          <w:sz w:val="32"/>
          <w:szCs w:val="32"/>
          <w:lang w:val="en-US" w:eastAsia="zh-CN"/>
        </w:rPr>
        <w:t>人才引进</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zh-CN" w:eastAsia="zh-CN"/>
        </w:rPr>
        <w:t>人</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质量指标‌：</w:t>
      </w:r>
      <w:r>
        <w:rPr>
          <w:rFonts w:hint="default" w:ascii="仿宋_GB2312" w:hAnsi="仿宋_GB2312" w:eastAsia="仿宋_GB2312" w:cs="仿宋_GB2312"/>
          <w:sz w:val="32"/>
          <w:szCs w:val="32"/>
          <w:lang w:val="en-US" w:eastAsia="zh-CN"/>
        </w:rPr>
        <w:t>引进高层人才</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时效指标‌：</w:t>
      </w:r>
      <w:r>
        <w:rPr>
          <w:rFonts w:hint="default" w:ascii="仿宋_GB2312" w:hAnsi="仿宋_GB2312" w:eastAsia="仿宋_GB2312" w:cs="仿宋_GB2312"/>
          <w:sz w:val="32"/>
          <w:szCs w:val="32"/>
          <w:lang w:val="en-US" w:eastAsia="zh-CN"/>
        </w:rPr>
        <w:t>完成时间</w:t>
      </w:r>
      <w:r>
        <w:rPr>
          <w:rFonts w:hint="eastAsia" w:ascii="仿宋_GB2312" w:hAnsi="仿宋_GB2312" w:eastAsia="仿宋_GB2312" w:cs="仿宋_GB2312"/>
          <w:sz w:val="32"/>
          <w:szCs w:val="32"/>
          <w:lang w:val="en-US" w:eastAsia="zh-CN"/>
        </w:rPr>
        <w:t>=12个月</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社会效益</w:t>
      </w:r>
      <w:r>
        <w:rPr>
          <w:rFonts w:hint="eastAsia" w:ascii="仿宋_GB2312" w:hAnsi="仿宋_GB2312" w:eastAsia="仿宋_GB2312" w:cs="仿宋_GB2312"/>
          <w:sz w:val="32"/>
          <w:szCs w:val="32"/>
          <w:lang w:val="en-US" w:eastAsia="zh-CN"/>
        </w:rPr>
        <w:t>指标</w:t>
      </w:r>
      <w:r>
        <w:rPr>
          <w:rFonts w:hint="default"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en-US" w:eastAsia="zh-CN"/>
        </w:rPr>
        <w:t>留住人才</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服务对象满意度‌：</w:t>
      </w:r>
      <w:r>
        <w:rPr>
          <w:rFonts w:hint="default" w:ascii="仿宋_GB2312" w:hAnsi="仿宋_GB2312" w:eastAsia="仿宋_GB2312" w:cs="仿宋_GB2312"/>
          <w:sz w:val="32"/>
          <w:szCs w:val="32"/>
          <w:lang w:val="en-US" w:eastAsia="zh-CN"/>
        </w:rPr>
        <w:t>人才</w:t>
      </w:r>
      <w:r>
        <w:rPr>
          <w:rFonts w:hint="default" w:ascii="仿宋_GB2312" w:hAnsi="仿宋_GB2312" w:eastAsia="仿宋_GB2312" w:cs="仿宋_GB2312"/>
          <w:sz w:val="32"/>
          <w:szCs w:val="32"/>
          <w:lang w:val="zh-CN" w:eastAsia="zh-CN"/>
        </w:rPr>
        <w:t>满意度≥</w:t>
      </w:r>
      <w:r>
        <w:rPr>
          <w:rFonts w:hint="eastAsia" w:ascii="仿宋_GB2312" w:hAnsi="仿宋_GB2312" w:eastAsia="仿宋_GB2312" w:cs="仿宋_GB2312"/>
          <w:sz w:val="32"/>
          <w:szCs w:val="32"/>
          <w:lang w:val="en-US" w:eastAsia="zh-CN"/>
        </w:rPr>
        <w:t>100</w:t>
      </w:r>
      <w:r>
        <w:rPr>
          <w:rFonts w:hint="default"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经济成本‌：</w:t>
      </w:r>
      <w:r>
        <w:rPr>
          <w:rFonts w:hint="default" w:ascii="仿宋_GB2312" w:hAnsi="仿宋_GB2312" w:eastAsia="仿宋_GB2312" w:cs="仿宋_GB2312"/>
          <w:sz w:val="32"/>
          <w:szCs w:val="32"/>
          <w:lang w:val="en-US" w:eastAsia="zh-CN"/>
        </w:rPr>
        <w:t>安家费及工作补贴</w:t>
      </w:r>
      <w:r>
        <w:rPr>
          <w:rFonts w:hint="default"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6000</w:t>
      </w:r>
      <w:r>
        <w:rPr>
          <w:rFonts w:hint="default" w:ascii="仿宋_GB2312" w:hAnsi="仿宋_GB2312" w:eastAsia="仿宋_GB2312" w:cs="仿宋_GB2312"/>
          <w:sz w:val="32"/>
          <w:szCs w:val="32"/>
          <w:lang w:val="zh-CN" w:eastAsia="zh-CN"/>
        </w:rPr>
        <w:t>元</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zh-CN" w:eastAsia="zh-CN"/>
        </w:rPr>
        <w:t>项目自评工作开展情况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zh-CN" w:eastAsia="zh-CN"/>
        </w:rPr>
        <w:t>根据项目自评表的内容，项目自评工作已经按照预定的绩效指标进行了全面的评估。自评结果显示，各项绩效指标均已完成或超额完成，表明项目绩效目标设置合理，执行情况良好。通过自评工作，进一步验证了项目的有效性和可行性，为后续项目的实施提供了有益的参考和借鉴。</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评价实施</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（一）评价目的</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评价目的旨在通过科学评估政策实施效果，确保财政资金高效利用、人才政策精准落地，并为后续政策优化提供决策依据。</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（二）预设问题及评价重点</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zh-CN" w:eastAsia="zh-CN"/>
        </w:rPr>
        <w:t>预设问题</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‌补助金额和标准‌：不同地区和政策对高层次人才的安家补助金额和标准有所不同</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申请条件和流程‌：申请安家补助需要满足一定的条件和按照特定的流程进行</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政策变化和更新‌：随着时间的推移，政策可能会有所调整</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与其他政策的衔接‌：高层次人才的安家补助政策通常与其他人才政策相衔接</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2.评价重点</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人才引进规模：量化引进人数、层次（如博士/领军人才占比）及服务期满留存率</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经济与社会效益：评估人才对产业升级（如专利数量、科技成果转化收益）、税收增长的贡献</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预算执行率：对比预算编制与实际支出，识别资金沉淀或缺口问题</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审核透明度：线上数据核验（如社保、学历信息）与线下联合评审（多部门协同）的合规性</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（三）评价选点</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在</w:t>
      </w:r>
      <w:r>
        <w:rPr>
          <w:rFonts w:hint="eastAsia" w:ascii="仿宋_GB2312" w:hAnsi="仿宋_GB2312" w:eastAsia="仿宋_GB2312" w:cs="仿宋_GB2312"/>
          <w:sz w:val="32"/>
          <w:szCs w:val="32"/>
          <w:lang w:val="en-US" w:eastAsia="zh-CN"/>
        </w:rPr>
        <w:t>高层次人才安家补助</w:t>
      </w:r>
      <w:r>
        <w:rPr>
          <w:rFonts w:hint="eastAsia" w:ascii="仿宋_GB2312" w:hAnsi="仿宋_GB2312" w:eastAsia="仿宋_GB2312" w:cs="仿宋_GB2312"/>
          <w:sz w:val="32"/>
          <w:szCs w:val="32"/>
          <w:lang w:val="zh-CN" w:eastAsia="zh-CN"/>
        </w:rPr>
        <w:t>项目的执行过程中，我们预设了一系列问题以待评价，包括：项目资金是否按照预算和规定用途合理分配和使用？项目实施过程中是否存在管理漏洞或效率低下的问题？项目的受益群体是否真正实现了就业创业能力的提升？以及项目是否达到了预期的社会和经济效益？</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价重点将集中在资金支出使用的全过程及其实施效果上。首先，针对资金支出，我们将重点关注合规性、效率性和经济性，确保资金的合理运用。其次，在实施效果方面，我们将着重评价项目的目标达成度、效益性、影响力和持续性，以综合判断项目是否成功实现了既定目标。</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（四）评价方法</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此项目</w:t>
      </w:r>
      <w:r>
        <w:rPr>
          <w:rFonts w:hint="eastAsia" w:ascii="仿宋_GB2312" w:hAnsi="仿宋_GB2312" w:eastAsia="仿宋_GB2312" w:cs="仿宋_GB2312"/>
          <w:sz w:val="32"/>
          <w:szCs w:val="32"/>
          <w:lang w:val="zh-CN" w:eastAsia="zh-CN"/>
        </w:rPr>
        <w:t>选取</w:t>
      </w:r>
      <w:r>
        <w:rPr>
          <w:rFonts w:hint="eastAsia" w:ascii="仿宋_GB2312" w:hAnsi="仿宋_GB2312" w:eastAsia="仿宋_GB2312" w:cs="仿宋_GB2312"/>
          <w:sz w:val="32"/>
          <w:szCs w:val="32"/>
          <w:lang w:val="en-US" w:eastAsia="zh-CN"/>
        </w:rPr>
        <w:t>单位自评法</w:t>
      </w:r>
      <w:r>
        <w:rPr>
          <w:rFonts w:hint="eastAsia" w:ascii="仿宋_GB2312" w:hAnsi="仿宋_GB2312" w:eastAsia="仿宋_GB2312" w:cs="仿宋_GB2312"/>
          <w:sz w:val="32"/>
          <w:szCs w:val="32"/>
          <w:lang w:val="zh-CN" w:eastAsia="zh-CN"/>
        </w:rPr>
        <w:t>进行</w:t>
      </w:r>
      <w:r>
        <w:rPr>
          <w:rFonts w:hint="eastAsia" w:ascii="仿宋_GB2312" w:hAnsi="仿宋_GB2312" w:eastAsia="仿宋_GB2312" w:cs="仿宋_GB2312"/>
          <w:sz w:val="32"/>
          <w:szCs w:val="32"/>
          <w:lang w:val="en-US" w:eastAsia="zh-CN"/>
        </w:rPr>
        <w:t>自评。</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（五）评价组织</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评价组由以下人员构成：</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评价组人员构成</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）评价组组长：由具备丰富项目管理经验和高级职称的专家担任，负责评价工作的总体指挥和协调。</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）财务</w:t>
      </w:r>
      <w:r>
        <w:rPr>
          <w:rFonts w:hint="eastAsia" w:ascii="仿宋_GB2312" w:hAnsi="仿宋_GB2312" w:eastAsia="仿宋_GB2312" w:cs="仿宋_GB2312"/>
          <w:sz w:val="32"/>
          <w:szCs w:val="32"/>
          <w:lang w:val="en-US" w:eastAsia="zh-CN"/>
        </w:rPr>
        <w:t>管理人员</w:t>
      </w:r>
      <w:r>
        <w:rPr>
          <w:rFonts w:hint="eastAsia" w:ascii="仿宋_GB2312" w:hAnsi="仿宋_GB2312" w:eastAsia="仿宋_GB2312" w:cs="仿宋_GB2312"/>
          <w:sz w:val="32"/>
          <w:szCs w:val="32"/>
          <w:lang w:val="zh-CN" w:eastAsia="zh-CN"/>
        </w:rPr>
        <w:t>：负责审核项目资金使用的合规性、合理性和效益性。</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）项目管理</w:t>
      </w:r>
      <w:r>
        <w:rPr>
          <w:rFonts w:hint="eastAsia" w:ascii="仿宋_GB2312" w:hAnsi="仿宋_GB2312" w:eastAsia="仿宋_GB2312" w:cs="仿宋_GB2312"/>
          <w:sz w:val="32"/>
          <w:szCs w:val="32"/>
          <w:lang w:val="en-US" w:eastAsia="zh-CN"/>
        </w:rPr>
        <w:t>人员</w:t>
      </w:r>
      <w:r>
        <w:rPr>
          <w:rFonts w:hint="eastAsia" w:ascii="仿宋_GB2312" w:hAnsi="仿宋_GB2312" w:eastAsia="仿宋_GB2312" w:cs="仿宋_GB2312"/>
          <w:sz w:val="32"/>
          <w:szCs w:val="32"/>
          <w:lang w:val="zh-CN" w:eastAsia="zh-CN"/>
        </w:rPr>
        <w:t>：负责评估项目实施过程的管理效率、风险控制及进度控制。</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职责分工</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）评价组组长：负责制定评价方案，组织评价组成员开展评价工作，审核评价报告，并对评价结果负责。</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）财务</w:t>
      </w:r>
      <w:r>
        <w:rPr>
          <w:rFonts w:hint="eastAsia" w:ascii="仿宋_GB2312" w:hAnsi="仿宋_GB2312" w:eastAsia="仿宋_GB2312" w:cs="仿宋_GB2312"/>
          <w:sz w:val="32"/>
          <w:szCs w:val="32"/>
          <w:lang w:val="en-US" w:eastAsia="zh-CN"/>
        </w:rPr>
        <w:t>管理人员</w:t>
      </w:r>
      <w:r>
        <w:rPr>
          <w:rFonts w:hint="eastAsia" w:ascii="仿宋_GB2312" w:hAnsi="仿宋_GB2312" w:eastAsia="仿宋_GB2312" w:cs="仿宋_GB2312"/>
          <w:sz w:val="32"/>
          <w:szCs w:val="32"/>
          <w:lang w:val="zh-CN" w:eastAsia="zh-CN"/>
        </w:rPr>
        <w:t>：审查项目财务报表，评估资金使用的效率和效果，提出财务方面的评价意见和建议。</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）项目管理</w:t>
      </w:r>
      <w:r>
        <w:rPr>
          <w:rFonts w:hint="eastAsia" w:ascii="仿宋_GB2312" w:hAnsi="仿宋_GB2312" w:eastAsia="仿宋_GB2312" w:cs="仿宋_GB2312"/>
          <w:sz w:val="32"/>
          <w:szCs w:val="32"/>
          <w:lang w:val="en-US" w:eastAsia="zh-CN"/>
        </w:rPr>
        <w:t>人员</w:t>
      </w:r>
      <w:r>
        <w:rPr>
          <w:rFonts w:hint="eastAsia" w:ascii="仿宋_GB2312" w:hAnsi="仿宋_GB2312" w:eastAsia="仿宋_GB2312" w:cs="仿宋_GB2312"/>
          <w:sz w:val="32"/>
          <w:szCs w:val="32"/>
          <w:lang w:val="zh-CN" w:eastAsia="zh-CN"/>
        </w:rPr>
        <w:t>：审查项目实施方案，评估项目管理流程，识别项目管理中的问题和风险，并提出改进措施。</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通过明确的职责分工，评价组将协同合作，确保</w:t>
      </w:r>
      <w:r>
        <w:rPr>
          <w:rFonts w:hint="eastAsia" w:ascii="仿宋_GB2312" w:hAnsi="仿宋_GB2312" w:eastAsia="仿宋_GB2312" w:cs="仿宋_GB2312"/>
          <w:sz w:val="32"/>
          <w:szCs w:val="32"/>
          <w:lang w:val="en-US" w:eastAsia="zh-CN"/>
        </w:rPr>
        <w:t>高层次人才安家补助和工作补助</w:t>
      </w:r>
      <w:r>
        <w:rPr>
          <w:rFonts w:hint="eastAsia" w:ascii="仿宋_GB2312" w:hAnsi="仿宋_GB2312" w:eastAsia="仿宋_GB2312" w:cs="仿宋_GB2312"/>
          <w:sz w:val="32"/>
          <w:szCs w:val="32"/>
          <w:lang w:val="zh-CN" w:eastAsia="zh-CN"/>
        </w:rPr>
        <w:t>项目评价工作的科学性、公正性和有效性。</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val="0"/>
          <w:color w:val="auto"/>
          <w:sz w:val="32"/>
          <w:szCs w:val="32"/>
          <w:highlight w:val="none"/>
          <w:u w:val="none"/>
          <w:lang w:val="zh-CN"/>
        </w:rPr>
      </w:pPr>
      <w:r>
        <w:rPr>
          <w:rFonts w:hint="eastAsia" w:ascii="黑体" w:hAnsi="黑体" w:eastAsia="黑体" w:cs="黑体"/>
          <w:b w:val="0"/>
          <w:bCs w:val="0"/>
          <w:color w:val="auto"/>
          <w:sz w:val="32"/>
          <w:szCs w:val="32"/>
          <w:highlight w:val="none"/>
          <w:u w:val="none"/>
        </w:rPr>
        <w:t>三、</w:t>
      </w:r>
      <w:r>
        <w:rPr>
          <w:rFonts w:hint="eastAsia" w:ascii="黑体" w:hAnsi="黑体" w:eastAsia="黑体" w:cs="黑体"/>
          <w:b w:val="0"/>
          <w:bCs w:val="0"/>
          <w:color w:val="auto"/>
          <w:sz w:val="32"/>
          <w:szCs w:val="32"/>
          <w:highlight w:val="none"/>
          <w:u w:val="none"/>
          <w:lang w:eastAsia="zh-CN"/>
        </w:rPr>
        <w:t>绩效分析</w:t>
      </w:r>
      <w:r>
        <w:rPr>
          <w:rFonts w:hint="eastAsia" w:ascii="黑体" w:hAnsi="黑体" w:eastAsia="黑体" w:cs="黑体"/>
          <w:b w:val="0"/>
          <w:bCs w:val="0"/>
          <w:color w:val="auto"/>
          <w:sz w:val="32"/>
          <w:szCs w:val="32"/>
          <w:highlight w:val="none"/>
          <w:u w:val="none"/>
          <w:lang w:val="zh-CN"/>
        </w:rPr>
        <w:tab/>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rPr>
          <w:rFonts w:hint="default" w:ascii="楷体_GB2312" w:hAnsi="宋体" w:eastAsia="楷体_GB2312" w:cs="Times New Roman"/>
          <w:b/>
          <w:color w:val="auto"/>
          <w:sz w:val="32"/>
          <w:szCs w:val="32"/>
          <w:highlight w:val="none"/>
          <w:u w:val="none"/>
          <w:lang w:val="en-US" w:eastAsia="zh-CN"/>
        </w:rPr>
      </w:pPr>
      <w:r>
        <w:rPr>
          <w:rFonts w:hint="default" w:ascii="楷体_GB2312" w:hAnsi="宋体" w:eastAsia="楷体_GB2312" w:cs="Times New Roman"/>
          <w:b/>
          <w:color w:val="auto"/>
          <w:sz w:val="32"/>
          <w:szCs w:val="32"/>
          <w:highlight w:val="none"/>
          <w:u w:val="none"/>
          <w:lang w:val="zh-CN" w:eastAsia="zh-CN"/>
        </w:rPr>
        <w:t>（一）</w:t>
      </w:r>
      <w:r>
        <w:rPr>
          <w:rFonts w:hint="default" w:ascii="楷体_GB2312" w:hAnsi="宋体" w:eastAsia="楷体_GB2312" w:cs="Times New Roman"/>
          <w:b/>
          <w:color w:val="auto"/>
          <w:sz w:val="32"/>
          <w:szCs w:val="32"/>
          <w:highlight w:val="none"/>
          <w:u w:val="none"/>
          <w:lang w:val="en-US" w:eastAsia="zh-CN"/>
        </w:rPr>
        <w:t>通用指标</w:t>
      </w:r>
      <w:r>
        <w:rPr>
          <w:rFonts w:hint="default" w:ascii="楷体_GB2312" w:hAnsi="宋体" w:eastAsia="楷体_GB2312" w:cs="Times New Roman"/>
          <w:b/>
          <w:color w:val="auto"/>
          <w:sz w:val="32"/>
          <w:szCs w:val="32"/>
          <w:highlight w:val="none"/>
          <w:u w:val="none"/>
          <w:lang w:val="zh-CN" w:eastAsia="zh-CN"/>
        </w:rPr>
        <w:t>绩效分析</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项目决策</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①决策程序</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该项目决策程序遵循了相关财政资金管理规定。虽然具体决策流程未在资料中明确列出，但可以推断该决策程序符合政策导向和实际需求，确保了项目的合法性和合规性。得分：6分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②规划论证</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项目虽为阶段项目，但目标清晰，即为做好高层次人才安家补助发放工作。资料中未提及具体的规划论证过程，但项目目标明确，与高层次人才工作补助经费的整体规划和政策要求相契合。得分：6分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③资金投向</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项目资金全部来源于财政拨款，总额为0.60万元，专门用于高层次人才工作补助经费。资金投向明确，符合项目规划和政策要求。得分：6分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项目决策绩效得分：18分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项目管理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①制度办法</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资料中未明确提及具体的制度办法，但可以推断项目在实施过程中遵循了广元市委、市政府以及相关部门关于财政资金管理等方面的制度规定。得分：2分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②分配管理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金分配因素选取较为全面的考虑相关行业事业发展实际和发展需求，权重设置有效突出项目实施重点；区域分布结果公平较为合理。资金分配管理遵循了财政资金管理原则，确保了资金的合理分配和有效使用。得分：9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③绩效监管</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虽然具体绩效监管措施未在资料中明确列出，但项目在实施过程中必然接受了相关部门和单位的监督和检查，以确保项目目标的实现和资金的有效使用。得分：6分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项目管理绩效得分：17分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3.项目实施</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①预算执行</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项目资金全部为财政拨款，预算执行情况良好。虽然具体预算执行数据未在资料中明确列出，但根据项目目标和资金总额，以及项目实际完成情况，可以推断预算执行是符合计划要求的。</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得分：6分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②资金使用</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项目资金使用符合规划论证和决策程序的要求，专门用于高层次人才安家工作补助经费。资金使用过程中遵循了财政资金管理原则，确保了资金的合规性和有效性。得分：3分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项目实施绩效得分：9分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4.项目结果</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①目标完成</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项目目标完成情况良好。根据资料中的数据，项目实际完成的发放人数2人，补助发放及时等指标均超过了预期目标值。</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得分：6分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②完成时效</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项目在规定的时间内顺利完成，确保了高层次人才收到安家补助。虽然具体完成时效数据未在资料中明确列出，但根据项目目标和实际情况，可以推断项目完成时效是符合要求的。得分：3分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项目结果绩效得分：9分</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rPr>
          <w:rFonts w:hint="default" w:ascii="楷体_GB2312" w:hAnsi="宋体" w:eastAsia="楷体_GB2312" w:cs="Times New Roman"/>
          <w:b/>
          <w:color w:val="auto"/>
          <w:sz w:val="32"/>
          <w:szCs w:val="32"/>
          <w:highlight w:val="none"/>
          <w:u w:val="none"/>
          <w:lang w:val="en-US" w:eastAsia="zh-CN"/>
        </w:rPr>
      </w:pPr>
      <w:r>
        <w:rPr>
          <w:rFonts w:hint="default" w:ascii="楷体_GB2312" w:hAnsi="宋体" w:eastAsia="楷体_GB2312" w:cs="Times New Roman"/>
          <w:b/>
          <w:color w:val="auto"/>
          <w:sz w:val="32"/>
          <w:szCs w:val="32"/>
          <w:highlight w:val="none"/>
          <w:u w:val="none"/>
          <w:lang w:val="zh-CN" w:eastAsia="zh-CN"/>
        </w:rPr>
        <w:t>（二）</w:t>
      </w:r>
      <w:r>
        <w:rPr>
          <w:rFonts w:hint="default" w:ascii="楷体_GB2312" w:hAnsi="宋体" w:eastAsia="楷体_GB2312" w:cs="Times New Roman"/>
          <w:b/>
          <w:color w:val="auto"/>
          <w:sz w:val="32"/>
          <w:szCs w:val="32"/>
          <w:highlight w:val="none"/>
          <w:u w:val="none"/>
          <w:lang w:val="en-US" w:eastAsia="zh-CN"/>
        </w:rPr>
        <w:t>专用指标</w:t>
      </w:r>
      <w:r>
        <w:rPr>
          <w:rFonts w:hint="default" w:ascii="楷体_GB2312" w:hAnsi="宋体" w:eastAsia="楷体_GB2312" w:cs="Times New Roman"/>
          <w:b/>
          <w:color w:val="auto"/>
          <w:sz w:val="32"/>
          <w:szCs w:val="32"/>
          <w:highlight w:val="none"/>
          <w:u w:val="none"/>
          <w:lang w:val="zh-CN" w:eastAsia="zh-CN"/>
        </w:rPr>
        <w:t>绩效分析</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1.产业发展。</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该项目实施符合市委市政府政策支持，但与相关企业成长性、经济性是否有促进作用无关，不对该项指标评分。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民生保障。</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该项目非民生保障项目，不对该项指标评分。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3.基础设施。</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该项目非基础设施项目，不对该项指标评分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行政运转。</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该项目按规定用途、适用范围分配，符合专项资金管理要求，管理程序合规、资金分配标准合规，该指标绩效自评得分</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lang w:val="zh-CN" w:eastAsia="zh-CN"/>
        </w:rPr>
        <w:t>分</w:t>
      </w:r>
    </w:p>
    <w:p>
      <w:pPr>
        <w:pStyle w:val="2"/>
        <w:keepNext w:val="0"/>
        <w:keepLines w:val="0"/>
        <w:pageBreakBefore w:val="0"/>
        <w:numPr>
          <w:ilvl w:val="0"/>
          <w:numId w:val="0"/>
        </w:numPr>
        <w:tabs>
          <w:tab w:val="left" w:pos="2160"/>
        </w:tabs>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eastAsia="zh-CN"/>
        </w:rPr>
        <w:t>四</w:t>
      </w:r>
      <w:r>
        <w:rPr>
          <w:rFonts w:hint="default" w:ascii="Times New Roman" w:hAnsi="Times New Roman" w:eastAsia="黑体" w:cs="Times New Roman"/>
          <w:b w:val="0"/>
          <w:bCs w:val="0"/>
          <w:color w:val="auto"/>
          <w:sz w:val="32"/>
          <w:szCs w:val="32"/>
          <w:highlight w:val="none"/>
          <w:u w:val="none"/>
        </w:rPr>
        <w:t>、评价结论</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本项目综合评价得分为‌9</w:t>
      </w: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zh-CN" w:eastAsia="zh-CN"/>
        </w:rPr>
        <w:t>分（优秀等级）‌，各项绩效指标均全面完成，部分指标超额实现。</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项目预算资金</w:t>
      </w:r>
      <w:r>
        <w:rPr>
          <w:rFonts w:hint="eastAsia" w:ascii="仿宋_GB2312" w:hAnsi="仿宋_GB2312" w:eastAsia="仿宋_GB2312" w:cs="仿宋_GB2312"/>
          <w:sz w:val="32"/>
          <w:szCs w:val="32"/>
          <w:lang w:val="en-US" w:eastAsia="zh-CN"/>
        </w:rPr>
        <w:t>0.60</w:t>
      </w:r>
      <w:r>
        <w:rPr>
          <w:rFonts w:hint="default" w:ascii="仿宋_GB2312" w:hAnsi="仿宋_GB2312" w:eastAsia="仿宋_GB2312" w:cs="仿宋_GB2312"/>
          <w:sz w:val="32"/>
          <w:szCs w:val="32"/>
          <w:lang w:val="zh-CN" w:eastAsia="zh-CN"/>
        </w:rPr>
        <w:t>万元，专项用于</w:t>
      </w:r>
      <w:r>
        <w:rPr>
          <w:rFonts w:hint="eastAsia" w:ascii="仿宋_GB2312" w:hAnsi="仿宋_GB2312" w:eastAsia="仿宋_GB2312" w:cs="仿宋_GB2312"/>
          <w:sz w:val="32"/>
          <w:szCs w:val="32"/>
          <w:lang w:val="en-US" w:eastAsia="zh-CN"/>
        </w:rPr>
        <w:t>高层次人才安家工作补助经费</w:t>
      </w:r>
      <w:r>
        <w:rPr>
          <w:rFonts w:hint="default"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补助人数1</w:t>
      </w:r>
      <w:r>
        <w:rPr>
          <w:rFonts w:hint="default" w:ascii="仿宋_GB2312" w:hAnsi="仿宋_GB2312" w:eastAsia="仿宋_GB2312" w:cs="仿宋_GB2312"/>
          <w:sz w:val="32"/>
          <w:szCs w:val="32"/>
          <w:lang w:val="zh-CN" w:eastAsia="zh-CN"/>
        </w:rPr>
        <w:t>人，</w:t>
      </w:r>
      <w:r>
        <w:rPr>
          <w:rFonts w:hint="eastAsia" w:ascii="仿宋_GB2312" w:hAnsi="仿宋_GB2312" w:eastAsia="仿宋_GB2312" w:cs="仿宋_GB2312"/>
          <w:sz w:val="32"/>
          <w:szCs w:val="32"/>
          <w:lang w:val="en-US" w:eastAsia="zh-CN"/>
        </w:rPr>
        <w:t>按时发放</w:t>
      </w:r>
      <w:r>
        <w:rPr>
          <w:rFonts w:hint="default" w:ascii="仿宋_GB2312" w:hAnsi="仿宋_GB2312" w:eastAsia="仿宋_GB2312" w:cs="仿宋_GB2312"/>
          <w:sz w:val="32"/>
          <w:szCs w:val="32"/>
          <w:lang w:val="zh-CN" w:eastAsia="zh-CN"/>
        </w:rPr>
        <w:t>率达</w:t>
      </w:r>
      <w:r>
        <w:rPr>
          <w:rFonts w:hint="eastAsia" w:ascii="仿宋_GB2312" w:hAnsi="仿宋_GB2312" w:eastAsia="仿宋_GB2312" w:cs="仿宋_GB2312"/>
          <w:sz w:val="32"/>
          <w:szCs w:val="32"/>
          <w:lang w:val="en-US" w:eastAsia="zh-CN"/>
        </w:rPr>
        <w:t>100</w:t>
      </w:r>
      <w:r>
        <w:rPr>
          <w:rFonts w:hint="default" w:ascii="仿宋_GB2312" w:hAnsi="仿宋_GB2312" w:eastAsia="仿宋_GB2312" w:cs="仿宋_GB2312"/>
          <w:sz w:val="32"/>
          <w:szCs w:val="32"/>
          <w:lang w:val="zh-CN" w:eastAsia="zh-CN"/>
        </w:rPr>
        <w:t>%，精准落实关怀政策。</w:t>
      </w:r>
    </w:p>
    <w:p>
      <w:pPr>
        <w:pStyle w:val="2"/>
        <w:keepNext w:val="0"/>
        <w:keepLines w:val="0"/>
        <w:pageBreakBefore w:val="0"/>
        <w:numPr>
          <w:ilvl w:val="0"/>
          <w:numId w:val="0"/>
        </w:numPr>
        <w:tabs>
          <w:tab w:val="left" w:pos="2160"/>
        </w:tabs>
        <w:kinsoku/>
        <w:wordWrap/>
        <w:overflowPunct/>
        <w:topLinePunct w:val="0"/>
        <w:autoSpaceDE/>
        <w:autoSpaceDN/>
        <w:bidi w:val="0"/>
        <w:adjustRightInd/>
        <w:spacing w:line="576" w:lineRule="exact"/>
        <w:ind w:firstLine="640" w:firstLineChars="200"/>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虽然发放额度与预算相符，但缺乏对成本控制的详细分析，可能存在优化空间。</w:t>
      </w:r>
    </w:p>
    <w:p>
      <w:pPr>
        <w:pStyle w:val="2"/>
        <w:keepNext w:val="0"/>
        <w:keepLines w:val="0"/>
        <w:pageBreakBefore w:val="0"/>
        <w:numPr>
          <w:ilvl w:val="0"/>
          <w:numId w:val="0"/>
        </w:numPr>
        <w:tabs>
          <w:tab w:val="left" w:pos="2160"/>
        </w:tabs>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黑体" w:cs="Times New Roman"/>
          <w:b w:val="0"/>
          <w:bCs w:val="0"/>
          <w:color w:val="auto"/>
          <w:kern w:val="0"/>
          <w:position w:val="3"/>
          <w:sz w:val="32"/>
          <w:szCs w:val="32"/>
          <w:highlight w:val="none"/>
          <w:u w:val="none"/>
          <w:lang w:val="zh-CN" w:eastAsia="zh-CN" w:bidi="ar-SA"/>
        </w:rPr>
      </w:pPr>
      <w:r>
        <w:rPr>
          <w:rFonts w:hint="default" w:ascii="Times New Roman" w:hAnsi="Times New Roman" w:eastAsia="黑体" w:cs="Times New Roman"/>
          <w:b w:val="0"/>
          <w:bCs w:val="0"/>
          <w:color w:val="auto"/>
          <w:kern w:val="0"/>
          <w:position w:val="3"/>
          <w:sz w:val="32"/>
          <w:szCs w:val="32"/>
          <w:highlight w:val="none"/>
          <w:u w:val="none"/>
          <w:lang w:val="zh-CN" w:eastAsia="zh-CN" w:bidi="ar-SA"/>
        </w:rPr>
        <w:t>六、改进建议</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对项目成本进行详细分析，寻找降低成本的有效途径，如提高资金使用效率等。</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titlePg/>
          <w:docGrid w:type="lines" w:linePitch="312" w:charSpace="0"/>
        </w:sectPr>
      </w:pPr>
    </w:p>
    <w:p>
      <w:pPr>
        <w:pStyle w:val="47"/>
        <w:keepNext w:val="0"/>
        <w:keepLines w:val="0"/>
        <w:pageBreakBefore w:val="0"/>
        <w:widowControl w:val="0"/>
        <w:kinsoku/>
        <w:wordWrap/>
        <w:overflowPunct/>
        <w:topLinePunct w:val="0"/>
        <w:autoSpaceDE/>
        <w:autoSpaceDN/>
        <w:bidi w:val="0"/>
        <w:spacing w:line="576" w:lineRule="exact"/>
        <w:ind w:left="0" w:leftChars="0" w:firstLine="880" w:firstLineChars="200"/>
        <w:jc w:val="center"/>
        <w:textAlignment w:val="auto"/>
        <w:rPr>
          <w:rFonts w:hint="default" w:ascii="Times New Roman" w:hAnsi="Times New Roman" w:eastAsia="方正小标宋简体" w:cs="Times New Roman"/>
          <w:color w:val="auto"/>
          <w:kern w:val="2"/>
          <w:sz w:val="44"/>
          <w:szCs w:val="44"/>
          <w:highlight w:val="none"/>
          <w:lang w:val="en-US" w:eastAsia="zh-CN"/>
        </w:rPr>
      </w:pPr>
      <w:r>
        <w:rPr>
          <w:rFonts w:hint="eastAsia" w:ascii="Times New Roman" w:hAnsi="Times New Roman" w:eastAsia="方正小标宋简体" w:cs="Times New Roman"/>
          <w:color w:val="auto"/>
          <w:kern w:val="2"/>
          <w:sz w:val="44"/>
          <w:szCs w:val="44"/>
          <w:highlight w:val="none"/>
          <w:lang w:val="en-US" w:eastAsia="zh-CN"/>
        </w:rPr>
        <w:t>老年文化艺术节</w:t>
      </w:r>
      <w:r>
        <w:rPr>
          <w:rFonts w:hint="default" w:ascii="Times New Roman" w:hAnsi="Times New Roman" w:eastAsia="方正小标宋简体" w:cs="Times New Roman"/>
          <w:color w:val="auto"/>
          <w:kern w:val="2"/>
          <w:sz w:val="44"/>
          <w:szCs w:val="44"/>
          <w:highlight w:val="none"/>
          <w:lang w:val="en-US" w:eastAsia="zh-CN"/>
        </w:rPr>
        <w:t>专项预算绩效自评报告</w:t>
      </w:r>
    </w:p>
    <w:p>
      <w:pPr>
        <w:pStyle w:val="47"/>
        <w:keepNext w:val="0"/>
        <w:keepLines w:val="0"/>
        <w:pageBreakBefore w:val="0"/>
        <w:widowControl w:val="0"/>
        <w:kinsoku/>
        <w:wordWrap/>
        <w:overflowPunct/>
        <w:topLinePunct w:val="0"/>
        <w:autoSpaceDE/>
        <w:autoSpaceDN/>
        <w:bidi w:val="0"/>
        <w:spacing w:line="576" w:lineRule="exact"/>
        <w:ind w:left="0" w:leftChars="0" w:firstLine="640" w:firstLineChars="200"/>
        <w:jc w:val="center"/>
        <w:textAlignment w:val="auto"/>
        <w:rPr>
          <w:rFonts w:hint="default" w:ascii="Times New Roman" w:hAnsi="Times New Roman" w:cs="Times New Roman"/>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（一）设立背景及基本情况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项目设立原因及背景</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省第二届老年文化艺术节老年时装大赛决赛</w:t>
      </w:r>
      <w:r>
        <w:rPr>
          <w:rFonts w:hint="default" w:ascii="仿宋_GB2312" w:hAnsi="仿宋_GB2312" w:eastAsia="仿宋_GB2312" w:cs="仿宋_GB2312"/>
          <w:sz w:val="32"/>
          <w:szCs w:val="32"/>
          <w:lang w:val="zh-CN" w:eastAsia="zh-CN"/>
        </w:rPr>
        <w:t>设立原因</w:t>
      </w:r>
      <w:r>
        <w:rPr>
          <w:rFonts w:hint="eastAsia" w:ascii="仿宋_GB2312" w:hAnsi="仿宋_GB2312" w:eastAsia="仿宋_GB2312" w:cs="仿宋_GB2312"/>
          <w:sz w:val="32"/>
          <w:szCs w:val="32"/>
          <w:lang w:val="en-US" w:eastAsia="zh-CN"/>
        </w:rPr>
        <w:t>是展现老年风采、丰富精神文化生活、倡导积极老龄观、推动老年事业发展、传承与创新文化。‌</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zh-CN" w:eastAsia="zh-CN"/>
        </w:rPr>
        <w:t>项目立项、资金申报的依据</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项目立项、资金申报的依据主要是本单位职能职责及年度工作计划</w:t>
      </w:r>
      <w:r>
        <w:rPr>
          <w:rFonts w:hint="eastAsia" w:ascii="仿宋_GB2312" w:hAnsi="仿宋_GB2312" w:eastAsia="仿宋_GB2312" w:cs="仿宋_GB2312"/>
          <w:sz w:val="32"/>
          <w:szCs w:val="32"/>
          <w:lang w:val="en-US"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zh-CN" w:eastAsia="zh-CN"/>
        </w:rPr>
        <w:t>资金申报依据‌：资金申报则根据项目预算和实际需求，按照财政部门的资金管理规定和程序进行。申报过程中，需详细说明项目目的、预期效果、资金需求及使用计划等，以确保资金的合理性和有效性。</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zh-CN" w:eastAsia="zh-CN"/>
        </w:rPr>
        <w:t>项目主要内容</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w:t>
      </w:r>
      <w:r>
        <w:rPr>
          <w:rFonts w:hint="default" w:ascii="仿宋_GB2312" w:hAnsi="仿宋_GB2312" w:eastAsia="仿宋_GB2312" w:cs="仿宋_GB2312"/>
          <w:sz w:val="32"/>
          <w:szCs w:val="32"/>
          <w:lang w:val="en-US" w:eastAsia="zh-CN"/>
        </w:rPr>
        <w:t>内容为</w:t>
      </w:r>
      <w:r>
        <w:rPr>
          <w:rFonts w:hint="default" w:ascii="仿宋_GB2312" w:hAnsi="仿宋_GB2312" w:eastAsia="仿宋_GB2312" w:cs="仿宋_GB2312"/>
          <w:sz w:val="32"/>
          <w:szCs w:val="32"/>
          <w:lang w:val="zh-CN" w:eastAsia="zh-CN"/>
        </w:rPr>
        <w:t>承办省第二届老年文化艺术节老年时装大赛决赛经费</w:t>
      </w:r>
      <w:r>
        <w:rPr>
          <w:rFonts w:hint="default" w:ascii="仿宋_GB2312" w:hAnsi="仿宋_GB2312" w:eastAsia="仿宋_GB2312" w:cs="仿宋_GB2312"/>
          <w:sz w:val="32"/>
          <w:szCs w:val="32"/>
          <w:lang w:val="en-US"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zh-CN" w:eastAsia="zh-CN"/>
        </w:rPr>
        <w:t>主管部门职能</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广元市民政局作为主管部门作为项目核心责任主体，制定和发布有关老年文化艺术节的政策和指导文件，确保活动符合国家的老龄工作方针和政策。</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（二）</w:t>
      </w:r>
      <w:r>
        <w:rPr>
          <w:rFonts w:hint="default" w:ascii="楷体_GB2312" w:hAnsi="宋体" w:eastAsia="楷体_GB2312" w:cs="Times New Roman"/>
          <w:b/>
          <w:color w:val="auto"/>
          <w:sz w:val="32"/>
          <w:szCs w:val="32"/>
          <w:highlight w:val="none"/>
          <w:u w:val="none"/>
          <w:lang w:val="en-US" w:eastAsia="zh-CN"/>
        </w:rPr>
        <w:t>实施目的及支持方向</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项目资金</w:t>
      </w:r>
      <w:r>
        <w:rPr>
          <w:rFonts w:hint="default" w:ascii="仿宋_GB2312" w:hAnsi="仿宋_GB2312" w:eastAsia="仿宋_GB2312" w:cs="仿宋_GB2312"/>
          <w:sz w:val="32"/>
          <w:szCs w:val="32"/>
          <w:lang w:val="zh-CN" w:eastAsia="zh-CN"/>
        </w:rPr>
        <w:t>管理办法制定情况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zh-CN" w:eastAsia="zh-CN"/>
        </w:rPr>
        <w:t>该项目资金严格按照财务管理相关规定进行管理，确保专款专用，项目资金的管理遵循了既定的规则和程序，特别是明确了资金作为承办省第二届老年文化艺术节老年时装大赛决赛经费的使用范围，体现了资金管理的规范性和针对性。</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zh-CN" w:eastAsia="zh-CN"/>
        </w:rPr>
        <w:t>项目实施目的和主要工作任务</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项目实施目的：</w:t>
      </w:r>
      <w:r>
        <w:rPr>
          <w:rFonts w:hint="default" w:ascii="仿宋_GB2312" w:hAnsi="仿宋_GB2312" w:eastAsia="仿宋_GB2312" w:cs="仿宋_GB2312"/>
          <w:sz w:val="32"/>
          <w:szCs w:val="32"/>
          <w:lang w:val="zh-CN" w:eastAsia="zh-CN"/>
        </w:rPr>
        <w:t>通过赛事举办，推介广元生态康养旅游，吸引各地老年人来广参加老年“游学养”，积极增加养老服务消费，培育新型消费点。</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主要工作任务：</w:t>
      </w:r>
      <w:r>
        <w:rPr>
          <w:rFonts w:hint="default" w:ascii="仿宋_GB2312" w:hAnsi="仿宋_GB2312" w:eastAsia="仿宋_GB2312" w:cs="仿宋_GB2312"/>
          <w:sz w:val="32"/>
          <w:szCs w:val="32"/>
          <w:lang w:val="zh-CN" w:eastAsia="zh-CN"/>
        </w:rPr>
        <w:t>省第二届老年文化艺术节老年时装大赛决赛。</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zh-CN" w:eastAsia="zh-CN"/>
        </w:rPr>
        <w:t>项目支持方向。</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老年文化艺术节老年时装大赛决赛不仅成为老年人展示自我的平台，也为推动老年文化艺术的繁荣和发展，提升老年人的生活质量和社会地位，发挥了积极作用。</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zh-CN" w:eastAsia="zh-CN"/>
        </w:rPr>
        <w:t>项目预算安排情况，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省第二届老年文化艺术节老年时装大赛决赛</w:t>
      </w:r>
      <w:r>
        <w:rPr>
          <w:rFonts w:hint="eastAsia" w:ascii="仿宋_GB2312" w:hAnsi="仿宋_GB2312" w:eastAsia="仿宋_GB2312" w:cs="仿宋_GB2312"/>
          <w:sz w:val="32"/>
          <w:szCs w:val="32"/>
          <w:lang w:val="en-US" w:eastAsia="zh-CN"/>
        </w:rPr>
        <w:t>项目作</w:t>
      </w:r>
      <w:r>
        <w:rPr>
          <w:rFonts w:hint="default" w:ascii="仿宋_GB2312" w:hAnsi="仿宋_GB2312" w:eastAsia="仿宋_GB2312" w:cs="仿宋_GB2312"/>
          <w:sz w:val="32"/>
          <w:szCs w:val="32"/>
          <w:lang w:val="zh-CN" w:eastAsia="zh-CN"/>
        </w:rPr>
        <w:t>为</w:t>
      </w:r>
      <w:r>
        <w:rPr>
          <w:rFonts w:hint="eastAsia" w:ascii="仿宋_GB2312" w:hAnsi="仿宋_GB2312" w:eastAsia="仿宋_GB2312" w:cs="仿宋_GB2312"/>
          <w:sz w:val="32"/>
          <w:szCs w:val="32"/>
          <w:lang w:val="en-US" w:eastAsia="zh-CN"/>
        </w:rPr>
        <w:t>延续性</w:t>
      </w:r>
      <w:r>
        <w:rPr>
          <w:rFonts w:hint="default" w:ascii="仿宋_GB2312" w:hAnsi="仿宋_GB2312" w:eastAsia="仿宋_GB2312" w:cs="仿宋_GB2312"/>
          <w:sz w:val="32"/>
          <w:szCs w:val="32"/>
          <w:lang w:val="zh-CN" w:eastAsia="zh-CN"/>
        </w:rPr>
        <w:t>项目，项目起止年限</w:t>
      </w:r>
      <w:r>
        <w:rPr>
          <w:rFonts w:hint="eastAsia" w:ascii="仿宋_GB2312" w:hAnsi="仿宋_GB2312" w:eastAsia="仿宋_GB2312" w:cs="仿宋_GB2312"/>
          <w:sz w:val="32"/>
          <w:szCs w:val="32"/>
          <w:lang w:val="en-US" w:eastAsia="zh-CN"/>
        </w:rPr>
        <w:t>长期</w:t>
      </w:r>
      <w:r>
        <w:rPr>
          <w:rFonts w:hint="default" w:ascii="仿宋_GB2312" w:hAnsi="仿宋_GB2312" w:eastAsia="仿宋_GB2312" w:cs="仿宋_GB2312"/>
          <w:sz w:val="32"/>
          <w:szCs w:val="32"/>
          <w:lang w:val="zh-CN" w:eastAsia="zh-CN"/>
        </w:rPr>
        <w:t>，即该项目资金专门用于省第二届老年文化艺术节老年时装大赛决赛</w:t>
      </w:r>
      <w:r>
        <w:rPr>
          <w:rFonts w:hint="eastAsia" w:ascii="仿宋_GB2312" w:hAnsi="仿宋_GB2312" w:eastAsia="仿宋_GB2312" w:cs="仿宋_GB2312"/>
          <w:sz w:val="32"/>
          <w:szCs w:val="32"/>
          <w:lang w:val="en-US" w:eastAsia="zh-CN"/>
        </w:rPr>
        <w:t>经费</w:t>
      </w:r>
      <w:r>
        <w:rPr>
          <w:rFonts w:hint="default" w:ascii="仿宋_GB2312" w:hAnsi="仿宋_GB2312" w:eastAsia="仿宋_GB2312" w:cs="仿宋_GB2312"/>
          <w:sz w:val="32"/>
          <w:szCs w:val="32"/>
          <w:lang w:val="zh-CN" w:eastAsia="zh-CN"/>
        </w:rPr>
        <w:t>。年度资金总额为</w:t>
      </w:r>
      <w:r>
        <w:rPr>
          <w:rFonts w:hint="eastAsia" w:ascii="仿宋_GB2312" w:hAnsi="仿宋_GB2312" w:eastAsia="仿宋_GB2312" w:cs="仿宋_GB2312"/>
          <w:sz w:val="32"/>
          <w:szCs w:val="32"/>
          <w:lang w:val="en-US" w:eastAsia="zh-CN"/>
        </w:rPr>
        <w:t>16.22</w:t>
      </w:r>
      <w:r>
        <w:rPr>
          <w:rFonts w:hint="default" w:ascii="仿宋_GB2312" w:hAnsi="仿宋_GB2312" w:eastAsia="仿宋_GB2312" w:cs="仿宋_GB2312"/>
          <w:sz w:val="32"/>
          <w:szCs w:val="32"/>
          <w:lang w:val="zh-CN" w:eastAsia="zh-CN"/>
        </w:rPr>
        <w:t>万元，全部来源于财政拨款</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zh-CN" w:eastAsia="zh-CN"/>
        </w:rPr>
        <w:t>项目资金分配原则及考虑因素，</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分配原则‌：遵循公平、公正、公开的原则，确保资金分配透明、合理</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考虑因素‌：省第二届老年文化艺术节老年时装大赛决赛</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本次活动</w:t>
      </w:r>
      <w:r>
        <w:rPr>
          <w:rFonts w:hint="default" w:ascii="仿宋_GB2312" w:hAnsi="仿宋_GB2312" w:eastAsia="仿宋_GB2312" w:cs="仿宋_GB2312"/>
          <w:sz w:val="32"/>
          <w:szCs w:val="32"/>
          <w:lang w:val="zh-CN" w:eastAsia="zh-CN"/>
        </w:rPr>
        <w:t>的具体形式和内容，以及所需经费的估算</w:t>
      </w:r>
      <w:r>
        <w:rPr>
          <w:rFonts w:hint="eastAsia"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zh-CN" w:eastAsia="zh-CN"/>
        </w:rPr>
        <w:t>市委、市政府的政策导向和资金安排，确保项目资金与相关政策相符。</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zh-CN" w:eastAsia="zh-CN"/>
        </w:rPr>
        <w:t>项目资金分配情况。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分配对象‌：省第二届老年文化艺术节老年时装大赛决赛。</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分配方式‌：根据省第二届老年文化艺术节老年时装大赛决赛</w:t>
      </w:r>
      <w:r>
        <w:rPr>
          <w:rFonts w:hint="eastAsia" w:ascii="仿宋_GB2312" w:hAnsi="仿宋_GB2312" w:eastAsia="仿宋_GB2312" w:cs="仿宋_GB2312"/>
          <w:sz w:val="32"/>
          <w:szCs w:val="32"/>
          <w:lang w:val="en-US" w:eastAsia="zh-CN"/>
        </w:rPr>
        <w:t>参赛队伍</w:t>
      </w:r>
      <w:r>
        <w:rPr>
          <w:rFonts w:hint="default" w:ascii="仿宋_GB2312" w:hAnsi="仿宋_GB2312" w:eastAsia="仿宋_GB2312" w:cs="仿宋_GB2312"/>
          <w:sz w:val="32"/>
          <w:szCs w:val="32"/>
          <w:lang w:val="zh-CN" w:eastAsia="zh-CN"/>
        </w:rPr>
        <w:t>和实际需求，将资金按照一定比例或标准分配到各个</w:t>
      </w:r>
      <w:r>
        <w:rPr>
          <w:rFonts w:hint="eastAsia" w:ascii="仿宋_GB2312" w:hAnsi="仿宋_GB2312" w:eastAsia="仿宋_GB2312" w:cs="仿宋_GB2312"/>
          <w:sz w:val="32"/>
          <w:szCs w:val="32"/>
          <w:lang w:val="en-US" w:eastAsia="zh-CN"/>
        </w:rPr>
        <w:t>参赛对象</w:t>
      </w:r>
      <w:r>
        <w:rPr>
          <w:rFonts w:hint="default"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分配结果‌：实际完成指标显示，</w:t>
      </w:r>
      <w:r>
        <w:rPr>
          <w:rFonts w:hint="default" w:ascii="仿宋_GB2312" w:hAnsi="仿宋_GB2312" w:eastAsia="仿宋_GB2312" w:cs="仿宋_GB2312"/>
          <w:sz w:val="32"/>
          <w:szCs w:val="32"/>
          <w:lang w:val="en-US" w:eastAsia="zh-CN"/>
        </w:rPr>
        <w:t>全省各市州参赛队伍及人数</w:t>
      </w:r>
      <w:r>
        <w:rPr>
          <w:rFonts w:hint="eastAsia" w:ascii="仿宋_GB2312" w:hAnsi="仿宋_GB2312" w:eastAsia="仿宋_GB2312" w:cs="仿宋_GB2312"/>
          <w:sz w:val="32"/>
          <w:szCs w:val="32"/>
          <w:lang w:val="en-US" w:eastAsia="zh-CN"/>
        </w:rPr>
        <w:t>12支，</w:t>
      </w:r>
      <w:r>
        <w:rPr>
          <w:rFonts w:hint="default" w:ascii="仿宋_GB2312" w:hAnsi="仿宋_GB2312" w:eastAsia="仿宋_GB2312" w:cs="仿宋_GB2312"/>
          <w:sz w:val="32"/>
          <w:szCs w:val="32"/>
          <w:lang w:val="en-US" w:eastAsia="zh-CN"/>
        </w:rPr>
        <w:t>丰富老年人精神文化生活，展现老年人风采，将积极老龄观、健康老龄化理念融入经济社会发展全过程</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zh-CN" w:eastAsia="zh-CN"/>
        </w:rPr>
        <w:t>表明资金分配基本覆盖了所有符合条件的</w:t>
      </w:r>
      <w:r>
        <w:rPr>
          <w:rFonts w:hint="eastAsia" w:ascii="仿宋_GB2312" w:hAnsi="仿宋_GB2312" w:eastAsia="仿宋_GB2312" w:cs="仿宋_GB2312"/>
          <w:sz w:val="32"/>
          <w:szCs w:val="32"/>
          <w:lang w:val="en-US" w:eastAsia="zh-CN"/>
        </w:rPr>
        <w:t>人员</w:t>
      </w:r>
      <w:r>
        <w:rPr>
          <w:rFonts w:hint="default" w:ascii="仿宋_GB2312" w:hAnsi="仿宋_GB2312" w:eastAsia="仿宋_GB2312" w:cs="仿宋_GB2312"/>
          <w:sz w:val="32"/>
          <w:szCs w:val="32"/>
          <w:lang w:val="zh-CN" w:eastAsia="zh-CN"/>
        </w:rPr>
        <w:t>，说明资金分配得到了及时有效的执行。</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（四）项目绩效目标设置</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zh-CN" w:eastAsia="zh-CN"/>
        </w:rPr>
        <w:t>项目整体</w:t>
      </w:r>
      <w:r>
        <w:rPr>
          <w:rFonts w:hint="eastAsia" w:ascii="仿宋_GB2312" w:hAnsi="仿宋_GB2312" w:eastAsia="仿宋_GB2312" w:cs="仿宋_GB2312"/>
          <w:sz w:val="32"/>
          <w:szCs w:val="32"/>
          <w:lang w:val="en-US" w:eastAsia="zh-CN"/>
        </w:rPr>
        <w:t>绩效指标</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zh-CN" w:eastAsia="zh-CN"/>
        </w:rPr>
        <w:t>该项目为广元市</w:t>
      </w:r>
      <w:r>
        <w:rPr>
          <w:rFonts w:hint="eastAsia" w:ascii="仿宋_GB2312" w:hAnsi="仿宋_GB2312" w:eastAsia="仿宋_GB2312" w:cs="仿宋_GB2312"/>
          <w:sz w:val="32"/>
          <w:szCs w:val="32"/>
          <w:lang w:val="en-US" w:eastAsia="zh-CN"/>
        </w:rPr>
        <w:t>民政局</w:t>
      </w:r>
      <w:r>
        <w:rPr>
          <w:rFonts w:hint="default" w:ascii="仿宋_GB2312" w:hAnsi="仿宋_GB2312" w:eastAsia="仿宋_GB2312" w:cs="仿宋_GB2312"/>
          <w:sz w:val="32"/>
          <w:szCs w:val="32"/>
          <w:lang w:val="zh-CN" w:eastAsia="zh-CN"/>
        </w:rPr>
        <w:t>负责的“省第二届老年文化艺术节老年时装大赛决赛”项目，属于部门项目，为</w:t>
      </w:r>
      <w:r>
        <w:rPr>
          <w:rFonts w:hint="eastAsia" w:ascii="仿宋_GB2312" w:hAnsi="仿宋_GB2312" w:eastAsia="仿宋_GB2312" w:cs="仿宋_GB2312"/>
          <w:sz w:val="32"/>
          <w:szCs w:val="32"/>
          <w:lang w:val="en-US" w:eastAsia="zh-CN"/>
        </w:rPr>
        <w:t>延续性</w:t>
      </w:r>
      <w:r>
        <w:rPr>
          <w:rFonts w:hint="default" w:ascii="仿宋_GB2312" w:hAnsi="仿宋_GB2312" w:eastAsia="仿宋_GB2312" w:cs="仿宋_GB2312"/>
          <w:sz w:val="32"/>
          <w:szCs w:val="32"/>
          <w:lang w:val="zh-CN" w:eastAsia="zh-CN"/>
        </w:rPr>
        <w:t>项目，项目周期为</w:t>
      </w:r>
      <w:r>
        <w:rPr>
          <w:rFonts w:hint="eastAsia" w:ascii="仿宋_GB2312" w:hAnsi="仿宋_GB2312" w:eastAsia="仿宋_GB2312" w:cs="仿宋_GB2312"/>
          <w:sz w:val="32"/>
          <w:szCs w:val="32"/>
          <w:lang w:val="en-US" w:eastAsia="zh-CN"/>
        </w:rPr>
        <w:t>长期</w:t>
      </w:r>
      <w:r>
        <w:rPr>
          <w:rFonts w:hint="default" w:ascii="仿宋_GB2312" w:hAnsi="仿宋_GB2312" w:eastAsia="仿宋_GB2312" w:cs="仿宋_GB2312"/>
          <w:sz w:val="32"/>
          <w:szCs w:val="32"/>
          <w:lang w:val="zh-CN" w:eastAsia="zh-CN"/>
        </w:rPr>
        <w:t>。项目资金总额为</w:t>
      </w:r>
      <w:r>
        <w:rPr>
          <w:rFonts w:hint="eastAsia" w:ascii="仿宋_GB2312" w:hAnsi="仿宋_GB2312" w:eastAsia="仿宋_GB2312" w:cs="仿宋_GB2312"/>
          <w:sz w:val="32"/>
          <w:szCs w:val="32"/>
          <w:lang w:val="en-US" w:eastAsia="zh-CN"/>
        </w:rPr>
        <w:t>16.22</w:t>
      </w:r>
      <w:r>
        <w:rPr>
          <w:rFonts w:hint="default" w:ascii="仿宋_GB2312" w:hAnsi="仿宋_GB2312" w:eastAsia="仿宋_GB2312" w:cs="仿宋_GB2312"/>
          <w:sz w:val="32"/>
          <w:szCs w:val="32"/>
          <w:lang w:val="zh-CN" w:eastAsia="zh-CN"/>
        </w:rPr>
        <w:t>万元，全部为财政拨款</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zh-CN" w:eastAsia="zh-CN"/>
        </w:rPr>
        <w:t>具体绩效目标设置情况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数量指标‌：</w:t>
      </w:r>
      <w:r>
        <w:rPr>
          <w:rFonts w:hint="default" w:ascii="仿宋_GB2312" w:hAnsi="仿宋_GB2312" w:eastAsia="仿宋_GB2312" w:cs="仿宋_GB2312"/>
          <w:sz w:val="32"/>
          <w:szCs w:val="32"/>
          <w:lang w:val="en-US" w:eastAsia="zh-CN"/>
        </w:rPr>
        <w:t>全省各市州参赛队伍及人数≥</w:t>
      </w:r>
      <w:r>
        <w:rPr>
          <w:rFonts w:hint="eastAsia" w:ascii="仿宋_GB2312" w:hAnsi="仿宋_GB2312" w:eastAsia="仿宋_GB2312" w:cs="仿宋_GB2312"/>
          <w:sz w:val="32"/>
          <w:szCs w:val="32"/>
          <w:lang w:val="en-US" w:eastAsia="zh-CN"/>
        </w:rPr>
        <w:t>200</w:t>
      </w:r>
      <w:r>
        <w:rPr>
          <w:rFonts w:hint="default" w:ascii="仿宋_GB2312" w:hAnsi="仿宋_GB2312" w:eastAsia="仿宋_GB2312" w:cs="仿宋_GB2312"/>
          <w:sz w:val="32"/>
          <w:szCs w:val="32"/>
          <w:lang w:val="zh-CN" w:eastAsia="zh-CN"/>
        </w:rPr>
        <w:t>人</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质量指标‌：</w:t>
      </w:r>
      <w:r>
        <w:rPr>
          <w:rFonts w:hint="default" w:ascii="仿宋_GB2312" w:hAnsi="仿宋_GB2312" w:eastAsia="仿宋_GB2312" w:cs="仿宋_GB2312"/>
          <w:sz w:val="32"/>
          <w:szCs w:val="32"/>
          <w:lang w:val="en-US" w:eastAsia="zh-CN"/>
        </w:rPr>
        <w:t>丰富老年人精神文化生活，展现老年人风采，将积极老龄观、健康老龄化理念融入经济社会发展全过程。</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时效指标‌：</w:t>
      </w:r>
      <w:r>
        <w:rPr>
          <w:rFonts w:hint="default" w:ascii="仿宋_GB2312" w:hAnsi="仿宋_GB2312" w:eastAsia="仿宋_GB2312" w:cs="仿宋_GB2312"/>
          <w:sz w:val="32"/>
          <w:szCs w:val="32"/>
          <w:lang w:val="en-US" w:eastAsia="zh-CN"/>
        </w:rPr>
        <w:t>完成时间≤</w:t>
      </w:r>
      <w:r>
        <w:rPr>
          <w:rFonts w:hint="eastAsia" w:ascii="仿宋_GB2312" w:hAnsi="仿宋_GB2312" w:eastAsia="仿宋_GB2312" w:cs="仿宋_GB2312"/>
          <w:sz w:val="32"/>
          <w:szCs w:val="32"/>
          <w:lang w:val="en-US" w:eastAsia="zh-CN"/>
        </w:rPr>
        <w:t>12个月</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社会效益</w:t>
      </w:r>
      <w:r>
        <w:rPr>
          <w:rFonts w:hint="eastAsia" w:ascii="仿宋_GB2312" w:hAnsi="仿宋_GB2312" w:eastAsia="仿宋_GB2312" w:cs="仿宋_GB2312"/>
          <w:sz w:val="32"/>
          <w:szCs w:val="32"/>
          <w:lang w:val="en-US" w:eastAsia="zh-CN"/>
        </w:rPr>
        <w:t>指标</w:t>
      </w:r>
      <w:r>
        <w:rPr>
          <w:rFonts w:hint="default"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en-US" w:eastAsia="zh-CN"/>
        </w:rPr>
        <w:t>通过赛事举办，推介广元生态康养旅游，吸引各地老年人来广参加老年“游学养”，积极增加养老服务消费，培育新型消费点</w:t>
      </w:r>
      <w:r>
        <w:rPr>
          <w:rFonts w:hint="eastAsia" w:ascii="仿宋_GB2312" w:hAnsi="仿宋_GB2312" w:eastAsia="仿宋_GB2312" w:cs="仿宋_GB2312"/>
          <w:sz w:val="32"/>
          <w:szCs w:val="32"/>
          <w:lang w:val="en-US"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服务对象满意度‌：</w:t>
      </w:r>
      <w:r>
        <w:rPr>
          <w:rFonts w:hint="default" w:ascii="仿宋_GB2312" w:hAnsi="仿宋_GB2312" w:eastAsia="仿宋_GB2312" w:cs="仿宋_GB2312"/>
          <w:sz w:val="32"/>
          <w:szCs w:val="32"/>
          <w:lang w:val="en-US" w:eastAsia="zh-CN"/>
        </w:rPr>
        <w:t>老年人群</w:t>
      </w:r>
      <w:r>
        <w:rPr>
          <w:rFonts w:hint="default"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95</w:t>
      </w:r>
      <w:r>
        <w:rPr>
          <w:rFonts w:hint="default"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经济成本‌：</w:t>
      </w:r>
      <w:r>
        <w:rPr>
          <w:rFonts w:hint="default" w:ascii="仿宋_GB2312" w:hAnsi="仿宋_GB2312" w:eastAsia="仿宋_GB2312" w:cs="仿宋_GB2312"/>
          <w:sz w:val="32"/>
          <w:szCs w:val="32"/>
          <w:lang w:val="en-US" w:eastAsia="zh-CN"/>
        </w:rPr>
        <w:t>老年时装决赛场地、高清显示屏、音响租赁费，舞美制作费、活动氛围布置费用，活动现场物料、活动宣传等费用等用</w:t>
      </w:r>
      <w:r>
        <w:rPr>
          <w:rFonts w:hint="default"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162200</w:t>
      </w:r>
      <w:r>
        <w:rPr>
          <w:rFonts w:hint="default" w:ascii="仿宋_GB2312" w:hAnsi="仿宋_GB2312" w:eastAsia="仿宋_GB2312" w:cs="仿宋_GB2312"/>
          <w:sz w:val="32"/>
          <w:szCs w:val="32"/>
          <w:lang w:val="zh-CN" w:eastAsia="zh-CN"/>
        </w:rPr>
        <w:t>元</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zh-CN" w:eastAsia="zh-CN"/>
        </w:rPr>
        <w:t>项目自评工作开展情况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根据项目自评表的内容，项目自评工作已经按照预定的绩效指标进行了全面的评估。自评结果显示，各项绩效指标均已完成或超额完成，表明项目绩效目标设置合理，执行情况良好。通过自评工作，进一步验证了项目的有效性和可行性，为后续项目的实施提供了有益的参考和借鉴。</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评价实施</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（一）评价目的</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评价目的</w:t>
      </w:r>
      <w:r>
        <w:rPr>
          <w:rFonts w:hint="default" w:ascii="仿宋_GB2312" w:hAnsi="仿宋_GB2312" w:eastAsia="仿宋_GB2312" w:cs="仿宋_GB2312"/>
          <w:sz w:val="32"/>
          <w:szCs w:val="32"/>
          <w:lang w:val="en-US" w:eastAsia="zh-CN"/>
        </w:rPr>
        <w:t>通过赛事举办，推介广元生态康养旅游，吸引各地老年人来广参加老年“游学养”，积极增加养老服务消费，培育新型消费点。</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（二）预设问题及评价重点</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1.预设问题</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编排是否合理，队形变化是否流畅？</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编排是否具有创新性和独特性？</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2.评价重点</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考察服饰展示编排的数量、质量、特色，包括队形变化的合理性、明确性，以及新颖、独创性</w:t>
      </w:r>
      <w:r>
        <w:rPr>
          <w:rFonts w:hint="eastAsia" w:ascii="仿宋_GB2312" w:hAnsi="仿宋_GB2312" w:eastAsia="仿宋_GB2312" w:cs="仿宋_GB2312"/>
          <w:sz w:val="32"/>
          <w:szCs w:val="32"/>
          <w:lang w:val="en-US" w:eastAsia="zh-CN"/>
        </w:rPr>
        <w:t>。</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（三）评价选点</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省第二届老年文化艺术节老年时装大赛决赛</w:t>
      </w:r>
      <w:r>
        <w:rPr>
          <w:rFonts w:hint="eastAsia" w:ascii="仿宋_GB2312" w:hAnsi="仿宋_GB2312" w:eastAsia="仿宋_GB2312" w:cs="仿宋_GB2312"/>
          <w:sz w:val="32"/>
          <w:szCs w:val="32"/>
          <w:lang w:val="en-US" w:eastAsia="zh-CN"/>
        </w:rPr>
        <w:t>活动场地。</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（四）评价方法</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此项目</w:t>
      </w:r>
      <w:r>
        <w:rPr>
          <w:rFonts w:hint="eastAsia" w:ascii="仿宋_GB2312" w:hAnsi="仿宋_GB2312" w:eastAsia="仿宋_GB2312" w:cs="仿宋_GB2312"/>
          <w:sz w:val="32"/>
          <w:szCs w:val="32"/>
          <w:lang w:val="zh-CN" w:eastAsia="zh-CN"/>
        </w:rPr>
        <w:t>选取</w:t>
      </w:r>
      <w:r>
        <w:rPr>
          <w:rFonts w:hint="eastAsia" w:ascii="仿宋_GB2312" w:hAnsi="仿宋_GB2312" w:eastAsia="仿宋_GB2312" w:cs="仿宋_GB2312"/>
          <w:sz w:val="32"/>
          <w:szCs w:val="32"/>
          <w:lang w:val="en-US" w:eastAsia="zh-CN"/>
        </w:rPr>
        <w:t>单位自评法</w:t>
      </w:r>
      <w:r>
        <w:rPr>
          <w:rFonts w:hint="eastAsia" w:ascii="仿宋_GB2312" w:hAnsi="仿宋_GB2312" w:eastAsia="仿宋_GB2312" w:cs="仿宋_GB2312"/>
          <w:sz w:val="32"/>
          <w:szCs w:val="32"/>
          <w:lang w:val="zh-CN" w:eastAsia="zh-CN"/>
        </w:rPr>
        <w:t>进行</w:t>
      </w:r>
      <w:r>
        <w:rPr>
          <w:rFonts w:hint="eastAsia" w:ascii="仿宋_GB2312" w:hAnsi="仿宋_GB2312" w:eastAsia="仿宋_GB2312" w:cs="仿宋_GB2312"/>
          <w:sz w:val="32"/>
          <w:szCs w:val="32"/>
          <w:lang w:val="en-US" w:eastAsia="zh-CN"/>
        </w:rPr>
        <w:t>自评。</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（五）评价组织</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评价组由以下人员构成：</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评价组人员构成</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）评价组组长：由具备丰富项目管理经验和高级职称的专家担任，负责评价工作的总体指挥和协调。</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）财务</w:t>
      </w:r>
      <w:r>
        <w:rPr>
          <w:rFonts w:hint="eastAsia" w:ascii="仿宋_GB2312" w:hAnsi="仿宋_GB2312" w:eastAsia="仿宋_GB2312" w:cs="仿宋_GB2312"/>
          <w:sz w:val="32"/>
          <w:szCs w:val="32"/>
          <w:lang w:val="en-US" w:eastAsia="zh-CN"/>
        </w:rPr>
        <w:t>管理人员</w:t>
      </w:r>
      <w:r>
        <w:rPr>
          <w:rFonts w:hint="eastAsia" w:ascii="仿宋_GB2312" w:hAnsi="仿宋_GB2312" w:eastAsia="仿宋_GB2312" w:cs="仿宋_GB2312"/>
          <w:sz w:val="32"/>
          <w:szCs w:val="32"/>
          <w:lang w:val="zh-CN" w:eastAsia="zh-CN"/>
        </w:rPr>
        <w:t>：负责审核项目资金使用的合规性、合理性和效益性。</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）项目管理</w:t>
      </w:r>
      <w:r>
        <w:rPr>
          <w:rFonts w:hint="eastAsia" w:ascii="仿宋_GB2312" w:hAnsi="仿宋_GB2312" w:eastAsia="仿宋_GB2312" w:cs="仿宋_GB2312"/>
          <w:sz w:val="32"/>
          <w:szCs w:val="32"/>
          <w:lang w:val="en-US" w:eastAsia="zh-CN"/>
        </w:rPr>
        <w:t>人员</w:t>
      </w:r>
      <w:r>
        <w:rPr>
          <w:rFonts w:hint="eastAsia" w:ascii="仿宋_GB2312" w:hAnsi="仿宋_GB2312" w:eastAsia="仿宋_GB2312" w:cs="仿宋_GB2312"/>
          <w:sz w:val="32"/>
          <w:szCs w:val="32"/>
          <w:lang w:val="zh-CN" w:eastAsia="zh-CN"/>
        </w:rPr>
        <w:t>：负责评估项目实施过程的管理效率、风险控制及进度控制。</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职责分工</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）评价组组长：负责制定评价方案，组织评价组成员开展评价工作，审核评价报告，并对评价结果负责。</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）财务</w:t>
      </w:r>
      <w:r>
        <w:rPr>
          <w:rFonts w:hint="eastAsia" w:ascii="仿宋_GB2312" w:hAnsi="仿宋_GB2312" w:eastAsia="仿宋_GB2312" w:cs="仿宋_GB2312"/>
          <w:sz w:val="32"/>
          <w:szCs w:val="32"/>
          <w:lang w:val="en-US" w:eastAsia="zh-CN"/>
        </w:rPr>
        <w:t>管理人员</w:t>
      </w:r>
      <w:r>
        <w:rPr>
          <w:rFonts w:hint="eastAsia" w:ascii="仿宋_GB2312" w:hAnsi="仿宋_GB2312" w:eastAsia="仿宋_GB2312" w:cs="仿宋_GB2312"/>
          <w:sz w:val="32"/>
          <w:szCs w:val="32"/>
          <w:lang w:val="zh-CN" w:eastAsia="zh-CN"/>
        </w:rPr>
        <w:t>：审查项目财务报表，评估资金使用的效率和效果，提出财务方面的评价意见和建议。</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）项目管理</w:t>
      </w:r>
      <w:r>
        <w:rPr>
          <w:rFonts w:hint="eastAsia" w:ascii="仿宋_GB2312" w:hAnsi="仿宋_GB2312" w:eastAsia="仿宋_GB2312" w:cs="仿宋_GB2312"/>
          <w:sz w:val="32"/>
          <w:szCs w:val="32"/>
          <w:lang w:val="en-US" w:eastAsia="zh-CN"/>
        </w:rPr>
        <w:t>人员</w:t>
      </w:r>
      <w:r>
        <w:rPr>
          <w:rFonts w:hint="eastAsia" w:ascii="仿宋_GB2312" w:hAnsi="仿宋_GB2312" w:eastAsia="仿宋_GB2312" w:cs="仿宋_GB2312"/>
          <w:sz w:val="32"/>
          <w:szCs w:val="32"/>
          <w:lang w:val="zh-CN" w:eastAsia="zh-CN"/>
        </w:rPr>
        <w:t>：审查项目实施方案，评估项目管理流程，识别项目管理中的问题和风险，并提出改进措施。</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通过明确的职责分工，评价组将协同合作，确保</w:t>
      </w:r>
      <w:r>
        <w:rPr>
          <w:rFonts w:hint="eastAsia" w:ascii="仿宋_GB2312" w:hAnsi="仿宋_GB2312" w:eastAsia="仿宋_GB2312" w:cs="仿宋_GB2312"/>
          <w:sz w:val="32"/>
          <w:szCs w:val="32"/>
          <w:lang w:val="en-US" w:eastAsia="zh-CN"/>
        </w:rPr>
        <w:t>高</w:t>
      </w:r>
      <w:r>
        <w:rPr>
          <w:rFonts w:hint="default" w:ascii="仿宋_GB2312" w:hAnsi="仿宋_GB2312" w:eastAsia="仿宋_GB2312" w:cs="仿宋_GB2312"/>
          <w:sz w:val="32"/>
          <w:szCs w:val="32"/>
          <w:lang w:val="zh-CN" w:eastAsia="zh-CN"/>
        </w:rPr>
        <w:t>省第二届老年文化艺术节老年时装大赛决赛</w:t>
      </w:r>
      <w:r>
        <w:rPr>
          <w:rFonts w:hint="eastAsia" w:ascii="仿宋_GB2312" w:hAnsi="仿宋_GB2312" w:eastAsia="仿宋_GB2312" w:cs="仿宋_GB2312"/>
          <w:sz w:val="32"/>
          <w:szCs w:val="32"/>
          <w:lang w:val="zh-CN" w:eastAsia="zh-CN"/>
        </w:rPr>
        <w:t>项目评价工作的科学性、公正性和有效性。</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highlight w:val="none"/>
          <w:u w:val="none"/>
        </w:rPr>
        <w:t>三、</w:t>
      </w:r>
      <w:r>
        <w:rPr>
          <w:rFonts w:hint="eastAsia" w:ascii="黑体" w:hAnsi="黑体" w:eastAsia="黑体" w:cs="黑体"/>
          <w:b w:val="0"/>
          <w:bCs w:val="0"/>
          <w:color w:val="auto"/>
          <w:sz w:val="32"/>
          <w:szCs w:val="32"/>
          <w:highlight w:val="none"/>
          <w:u w:val="none"/>
          <w:lang w:eastAsia="zh-CN"/>
        </w:rPr>
        <w:t>绩效分析</w:t>
      </w:r>
      <w:r>
        <w:rPr>
          <w:rFonts w:hint="eastAsia" w:ascii="黑体" w:hAnsi="黑体" w:eastAsia="黑体" w:cs="黑体"/>
          <w:b w:val="0"/>
          <w:bCs w:val="0"/>
          <w:color w:val="auto"/>
          <w:sz w:val="32"/>
          <w:szCs w:val="32"/>
          <w:highlight w:val="none"/>
          <w:u w:val="none"/>
          <w:lang w:val="zh-CN"/>
        </w:rPr>
        <w:tab/>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rPr>
          <w:rFonts w:hint="default" w:ascii="楷体_GB2312" w:hAnsi="宋体" w:eastAsia="楷体_GB2312" w:cs="Times New Roman"/>
          <w:b/>
          <w:color w:val="auto"/>
          <w:sz w:val="32"/>
          <w:szCs w:val="32"/>
          <w:highlight w:val="none"/>
          <w:u w:val="none"/>
          <w:lang w:val="en-US" w:eastAsia="zh-CN"/>
        </w:rPr>
      </w:pPr>
      <w:r>
        <w:rPr>
          <w:rFonts w:hint="default" w:ascii="楷体_GB2312" w:hAnsi="宋体" w:eastAsia="楷体_GB2312" w:cs="Times New Roman"/>
          <w:b/>
          <w:color w:val="auto"/>
          <w:sz w:val="32"/>
          <w:szCs w:val="32"/>
          <w:highlight w:val="none"/>
          <w:u w:val="none"/>
          <w:lang w:val="zh-CN" w:eastAsia="zh-CN"/>
        </w:rPr>
        <w:t>（一）</w:t>
      </w:r>
      <w:r>
        <w:rPr>
          <w:rFonts w:hint="default" w:ascii="楷体_GB2312" w:hAnsi="宋体" w:eastAsia="楷体_GB2312" w:cs="Times New Roman"/>
          <w:b/>
          <w:color w:val="auto"/>
          <w:sz w:val="32"/>
          <w:szCs w:val="32"/>
          <w:highlight w:val="none"/>
          <w:u w:val="none"/>
          <w:lang w:val="en-US" w:eastAsia="zh-CN"/>
        </w:rPr>
        <w:t>通用指标</w:t>
      </w:r>
      <w:r>
        <w:rPr>
          <w:rFonts w:hint="default" w:ascii="楷体_GB2312" w:hAnsi="宋体" w:eastAsia="楷体_GB2312" w:cs="Times New Roman"/>
          <w:b/>
          <w:color w:val="auto"/>
          <w:sz w:val="32"/>
          <w:szCs w:val="32"/>
          <w:highlight w:val="none"/>
          <w:u w:val="none"/>
          <w:lang w:val="zh-CN" w:eastAsia="zh-CN"/>
        </w:rPr>
        <w:t>绩效分析。</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项目决策</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该项目决策程序遵循了相关财政资金管理规定。虽然具体决策流程未在资料中明确列出，但可以推断该决策程序符合政策导向和实际需求，确保了项目的合法性和合规性。得分：6分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②规划论证</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项目虽为阶段项目，但目标清晰，即为做好</w:t>
      </w:r>
      <w:r>
        <w:rPr>
          <w:rFonts w:hint="default" w:ascii="仿宋_GB2312" w:hAnsi="仿宋_GB2312" w:eastAsia="仿宋_GB2312" w:cs="仿宋_GB2312"/>
          <w:sz w:val="32"/>
          <w:szCs w:val="32"/>
          <w:lang w:val="en-US" w:eastAsia="zh-CN"/>
        </w:rPr>
        <w:t>省第二届老年文化艺术节老年时装大赛决赛</w:t>
      </w:r>
      <w:r>
        <w:rPr>
          <w:rFonts w:hint="eastAsia" w:ascii="仿宋_GB2312" w:hAnsi="仿宋_GB2312" w:eastAsia="仿宋_GB2312" w:cs="仿宋_GB2312"/>
          <w:sz w:val="32"/>
          <w:szCs w:val="32"/>
          <w:lang w:val="en-US" w:eastAsia="zh-CN"/>
        </w:rPr>
        <w:t>工作。资料中未提及具体的规划论证过程，但项目目标明确，与</w:t>
      </w:r>
      <w:r>
        <w:rPr>
          <w:rFonts w:hint="default" w:ascii="仿宋_GB2312" w:hAnsi="仿宋_GB2312" w:eastAsia="仿宋_GB2312" w:cs="仿宋_GB2312"/>
          <w:sz w:val="32"/>
          <w:szCs w:val="32"/>
          <w:lang w:val="en-US" w:eastAsia="zh-CN"/>
        </w:rPr>
        <w:t>省第二届老年文化艺术节老年时装大赛</w:t>
      </w:r>
      <w:r>
        <w:rPr>
          <w:rFonts w:hint="eastAsia" w:ascii="仿宋_GB2312" w:hAnsi="仿宋_GB2312" w:eastAsia="仿宋_GB2312" w:cs="仿宋_GB2312"/>
          <w:sz w:val="32"/>
          <w:szCs w:val="32"/>
          <w:lang w:val="en-US" w:eastAsia="zh-CN"/>
        </w:rPr>
        <w:t>决赛经费的整体规划和政策要求相契合。得分：6分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③资金投向</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项目资金全部来源于财政拨款，总额为16.22万元，专门</w:t>
      </w:r>
      <w:r>
        <w:rPr>
          <w:rFonts w:hint="default" w:ascii="仿宋_GB2312" w:hAnsi="仿宋_GB2312" w:eastAsia="仿宋_GB2312" w:cs="仿宋_GB2312"/>
          <w:sz w:val="32"/>
          <w:szCs w:val="32"/>
          <w:lang w:val="en-US" w:eastAsia="zh-CN"/>
        </w:rPr>
        <w:t>省第二届老年文化艺术节老年时装大赛</w:t>
      </w:r>
      <w:r>
        <w:rPr>
          <w:rFonts w:hint="eastAsia" w:ascii="仿宋_GB2312" w:hAnsi="仿宋_GB2312" w:eastAsia="仿宋_GB2312" w:cs="仿宋_GB2312"/>
          <w:sz w:val="32"/>
          <w:szCs w:val="32"/>
          <w:lang w:val="en-US" w:eastAsia="zh-CN"/>
        </w:rPr>
        <w:t>决赛经费。资金投向明确，符合项目规划和政策要求。得分：6分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项目决策绩效得分：18分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项目管理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①制度办法</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资料中未明确提及具体的制度办法，但可以推断项目在实施过程中遵循了广元市委、市政府以及相关部门关于财政资金管理等方面的制度规定。得分：2分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②分配管理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金分配因素选取较为全面的考虑相关行业事业发展实际和发展需求，权重设置有效突出项目实施重点；区域分布结果公平较为合理。资金分配管理遵循了财政资金管理原则，确保了资金的合理分配和有效使用。得分10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③绩效监管</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虽然具体绩效监管措施未在资料中明确列出，但项目在实施过程中必然接受了相关部门和单位的监督和检查，以确保项目目标的实现和资金的有效使用。得分：6分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项目管理绩效得分：18分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3.项目实施</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①预算执行</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项目资金全部为财政拨款，预算执行情况良好。虽然具体预算执行数据未在资料中明确列出，但根据项目目标和资金总额，以及项目实际完成情况，可以推断预算执行是符合计划要求的。</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得分：6分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②资金使用</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项目资金使用符合规划论证和决策程序的要求，专门用于</w:t>
      </w:r>
      <w:r>
        <w:rPr>
          <w:rFonts w:hint="default" w:ascii="仿宋_GB2312" w:hAnsi="仿宋_GB2312" w:eastAsia="仿宋_GB2312" w:cs="仿宋_GB2312"/>
          <w:sz w:val="32"/>
          <w:szCs w:val="32"/>
          <w:lang w:val="en-US" w:eastAsia="zh-CN"/>
        </w:rPr>
        <w:t>省第二届老年文化艺术节老年时装大赛决赛</w:t>
      </w:r>
      <w:r>
        <w:rPr>
          <w:rFonts w:hint="eastAsia" w:ascii="仿宋_GB2312" w:hAnsi="仿宋_GB2312" w:eastAsia="仿宋_GB2312" w:cs="仿宋_GB2312"/>
          <w:sz w:val="32"/>
          <w:szCs w:val="32"/>
          <w:lang w:val="en-US" w:eastAsia="zh-CN"/>
        </w:rPr>
        <w:t>经费。资金使用过程中遵循了财政资金管理原则，确保了资金的合规性和有效性。得分：3分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项目实施绩效得分：9分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4.项目结果</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①目标完成</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项目目标完成情况良好。根据资料中的数据，项目</w:t>
      </w:r>
      <w:r>
        <w:rPr>
          <w:rFonts w:hint="default" w:ascii="仿宋_GB2312" w:hAnsi="仿宋_GB2312" w:eastAsia="仿宋_GB2312" w:cs="仿宋_GB2312"/>
          <w:sz w:val="32"/>
          <w:szCs w:val="32"/>
          <w:lang w:val="en-US" w:eastAsia="zh-CN"/>
        </w:rPr>
        <w:t>全省各市州参赛队伍及人数</w:t>
      </w:r>
      <w:r>
        <w:rPr>
          <w:rFonts w:hint="eastAsia" w:ascii="仿宋_GB2312" w:hAnsi="仿宋_GB2312" w:eastAsia="仿宋_GB2312" w:cs="仿宋_GB2312"/>
          <w:sz w:val="32"/>
          <w:szCs w:val="32"/>
          <w:lang w:val="en-US" w:eastAsia="zh-CN"/>
        </w:rPr>
        <w:t>达到200人，</w:t>
      </w:r>
      <w:r>
        <w:rPr>
          <w:rFonts w:hint="default" w:ascii="仿宋_GB2312" w:hAnsi="仿宋_GB2312" w:eastAsia="仿宋_GB2312" w:cs="仿宋_GB2312"/>
          <w:sz w:val="32"/>
          <w:szCs w:val="32"/>
          <w:lang w:val="en-US" w:eastAsia="zh-CN"/>
        </w:rPr>
        <w:t>丰富老年人精神文化生活，展现老年人风采，将积极老龄观、健康老龄化理念融入经济社会发展全过程</w:t>
      </w:r>
      <w:r>
        <w:rPr>
          <w:rFonts w:hint="eastAsia" w:ascii="仿宋_GB2312" w:hAnsi="仿宋_GB2312" w:eastAsia="仿宋_GB2312" w:cs="仿宋_GB2312"/>
          <w:sz w:val="32"/>
          <w:szCs w:val="32"/>
          <w:lang w:val="en-US" w:eastAsia="zh-CN"/>
        </w:rPr>
        <w:t>等指标均超过了预期目标值。</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得分：6分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②完成时效</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项目在规定的时间内顺利完成，确保了</w:t>
      </w:r>
      <w:r>
        <w:rPr>
          <w:rFonts w:hint="default" w:ascii="仿宋_GB2312" w:hAnsi="仿宋_GB2312" w:eastAsia="仿宋_GB2312" w:cs="仿宋_GB2312"/>
          <w:sz w:val="32"/>
          <w:szCs w:val="32"/>
          <w:lang w:val="en-US" w:eastAsia="zh-CN"/>
        </w:rPr>
        <w:t>省第二届老年文化艺术节老年时装大赛决赛</w:t>
      </w:r>
      <w:r>
        <w:rPr>
          <w:rFonts w:hint="eastAsia" w:ascii="仿宋_GB2312" w:hAnsi="仿宋_GB2312" w:eastAsia="仿宋_GB2312" w:cs="仿宋_GB2312"/>
          <w:sz w:val="32"/>
          <w:szCs w:val="32"/>
          <w:lang w:val="en-US" w:eastAsia="zh-CN"/>
        </w:rPr>
        <w:t>顺利进行。虽然具体完成时效数据未在资料中明确列出，但根据项目目标和实际情况，可以推断项目完成时效是符合要求的。得分：3分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项目结果绩效得分：9分</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rPr>
          <w:rFonts w:hint="default" w:ascii="楷体_GB2312" w:hAnsi="宋体" w:eastAsia="楷体_GB2312" w:cs="Times New Roman"/>
          <w:b/>
          <w:color w:val="auto"/>
          <w:sz w:val="32"/>
          <w:szCs w:val="32"/>
          <w:highlight w:val="none"/>
          <w:u w:val="none"/>
          <w:lang w:val="en-US" w:eastAsia="zh-CN"/>
        </w:rPr>
      </w:pPr>
      <w:r>
        <w:rPr>
          <w:rFonts w:hint="default" w:ascii="楷体_GB2312" w:hAnsi="宋体" w:eastAsia="楷体_GB2312" w:cs="Times New Roman"/>
          <w:b/>
          <w:color w:val="auto"/>
          <w:sz w:val="32"/>
          <w:szCs w:val="32"/>
          <w:highlight w:val="none"/>
          <w:u w:val="none"/>
          <w:lang w:val="zh-CN" w:eastAsia="zh-CN"/>
        </w:rPr>
        <w:t>（二）</w:t>
      </w:r>
      <w:r>
        <w:rPr>
          <w:rFonts w:hint="default" w:ascii="楷体_GB2312" w:hAnsi="宋体" w:eastAsia="楷体_GB2312" w:cs="Times New Roman"/>
          <w:b/>
          <w:color w:val="auto"/>
          <w:sz w:val="32"/>
          <w:szCs w:val="32"/>
          <w:highlight w:val="none"/>
          <w:u w:val="none"/>
          <w:lang w:val="en-US" w:eastAsia="zh-CN"/>
        </w:rPr>
        <w:t>专用指标</w:t>
      </w:r>
      <w:r>
        <w:rPr>
          <w:rFonts w:hint="default" w:ascii="楷体_GB2312" w:hAnsi="宋体" w:eastAsia="楷体_GB2312" w:cs="Times New Roman"/>
          <w:b/>
          <w:color w:val="auto"/>
          <w:sz w:val="32"/>
          <w:szCs w:val="32"/>
          <w:highlight w:val="none"/>
          <w:u w:val="none"/>
          <w:lang w:val="zh-CN" w:eastAsia="zh-CN"/>
        </w:rPr>
        <w:t>绩效分析</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1.产业发展。</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该项目实施符合市委市政府政策支持，但与相关企业成长性、经济性是否有促进作用无关，不对该项指标评分。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民生保障。</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该项目非民生保障项目，不对该项指标评分。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3.基础设施。</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该项目非基础设施项目，不对该项指标评分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行政运转。</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该项目按规定用途、适用范围分配，符合专项资金管理要求，管理程序合规、资金分配标准合规，该指标绩效自评得分</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lang w:val="zh-CN" w:eastAsia="zh-CN"/>
        </w:rPr>
        <w:t>分</w:t>
      </w:r>
    </w:p>
    <w:p>
      <w:pPr>
        <w:pStyle w:val="2"/>
        <w:keepNext w:val="0"/>
        <w:keepLines w:val="0"/>
        <w:pageBreakBefore w:val="0"/>
        <w:numPr>
          <w:ilvl w:val="0"/>
          <w:numId w:val="0"/>
        </w:numPr>
        <w:tabs>
          <w:tab w:val="left" w:pos="2160"/>
        </w:tabs>
        <w:kinsoku/>
        <w:wordWrap/>
        <w:overflowPunct/>
        <w:topLinePunct w:val="0"/>
        <w:autoSpaceDE/>
        <w:autoSpaceDN/>
        <w:bidi w:val="0"/>
        <w:adjustRightInd/>
        <w:spacing w:line="576" w:lineRule="exact"/>
        <w:ind w:firstLine="640" w:firstLineChars="200"/>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四</w:t>
      </w:r>
      <w:r>
        <w:rPr>
          <w:rFonts w:hint="eastAsia" w:ascii="黑体" w:hAnsi="黑体" w:eastAsia="黑体" w:cs="黑体"/>
          <w:b w:val="0"/>
          <w:bCs w:val="0"/>
          <w:color w:val="auto"/>
          <w:sz w:val="32"/>
          <w:szCs w:val="32"/>
          <w:highlight w:val="none"/>
          <w:u w:val="none"/>
        </w:rPr>
        <w:t>、评价结论</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川省第二届老年文化艺术节旨在展现我省老年人积极健康向上的精神风貌，老年时装大赛市其有机组成部分。通过项目实施，全省12支队伍参赛，我市《蜀道漫步-雨行翠云廊》节目参赛并获二等奖，进一步丰富了老年人精神文化生活，展现老年人风采，将积极老龄观、健康老龄化理念融入经济社会发展全过程。通过赛事举办，推介广元生态康养旅游，吸引各地老年人来广参加老年“游学养”项目，积极增加养老服务消费，培育新型消费点。</w:t>
      </w:r>
    </w:p>
    <w:p>
      <w:pPr>
        <w:pStyle w:val="2"/>
        <w:keepNext w:val="0"/>
        <w:keepLines w:val="0"/>
        <w:pageBreakBefore w:val="0"/>
        <w:numPr>
          <w:ilvl w:val="0"/>
          <w:numId w:val="0"/>
        </w:numPr>
        <w:tabs>
          <w:tab w:val="left" w:pos="2160"/>
        </w:tabs>
        <w:kinsoku/>
        <w:wordWrap/>
        <w:overflowPunct/>
        <w:topLinePunct w:val="0"/>
        <w:autoSpaceDE/>
        <w:autoSpaceDN/>
        <w:bidi w:val="0"/>
        <w:adjustRightInd/>
        <w:spacing w:line="576" w:lineRule="exact"/>
        <w:ind w:firstLine="640" w:firstLineChars="200"/>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pStyle w:val="2"/>
        <w:keepNext w:val="0"/>
        <w:keepLines w:val="0"/>
        <w:pageBreakBefore w:val="0"/>
        <w:numPr>
          <w:ilvl w:val="0"/>
          <w:numId w:val="0"/>
        </w:numPr>
        <w:tabs>
          <w:tab w:val="left" w:pos="2160"/>
        </w:tabs>
        <w:kinsoku/>
        <w:wordWrap/>
        <w:overflowPunct/>
        <w:topLinePunct w:val="0"/>
        <w:autoSpaceDE/>
        <w:autoSpaceDN/>
        <w:bidi w:val="0"/>
        <w:adjustRightInd/>
        <w:spacing w:line="576" w:lineRule="exact"/>
        <w:ind w:firstLine="640" w:firstLineChars="200"/>
        <w:textAlignment w:val="auto"/>
        <w:rPr>
          <w:rFonts w:hint="eastAsia" w:ascii="黑体" w:hAnsi="黑体" w:eastAsia="黑体" w:cs="黑体"/>
          <w:b w:val="0"/>
          <w:bCs w:val="0"/>
          <w:color w:val="auto"/>
          <w:kern w:val="0"/>
          <w:position w:val="3"/>
          <w:sz w:val="32"/>
          <w:szCs w:val="32"/>
          <w:highlight w:val="none"/>
          <w:u w:val="none"/>
          <w:lang w:val="zh-CN" w:eastAsia="zh-CN" w:bidi="ar-SA"/>
        </w:rPr>
      </w:pPr>
      <w:r>
        <w:rPr>
          <w:rFonts w:hint="eastAsia" w:ascii="黑体" w:hAnsi="黑体" w:eastAsia="黑体" w:cs="黑体"/>
          <w:b w:val="0"/>
          <w:bCs w:val="0"/>
          <w:color w:val="auto"/>
          <w:kern w:val="0"/>
          <w:position w:val="3"/>
          <w:sz w:val="32"/>
          <w:szCs w:val="32"/>
          <w:highlight w:val="none"/>
          <w:u w:val="none"/>
          <w:lang w:val="zh-CN" w:eastAsia="zh-CN" w:bidi="ar-SA"/>
        </w:rPr>
        <w:t>六、改进建议</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 w:eastAsia="zh-CN"/>
        </w:rPr>
      </w:pPr>
      <w:r>
        <w:rPr>
          <w:rFonts w:hint="default" w:ascii="仿宋_GB2312" w:hAnsi="仿宋_GB2312" w:eastAsia="仿宋_GB2312" w:cs="仿宋_GB2312"/>
          <w:sz w:val="32"/>
          <w:szCs w:val="32"/>
          <w:lang w:val="en-US" w:eastAsia="zh-CN"/>
        </w:rPr>
        <w:t>及时总结工作成效，注重宣传，营造敬老孝老氛围。</w:t>
      </w:r>
    </w:p>
    <w:p>
      <w:pPr>
        <w:spacing w:line="520" w:lineRule="exact"/>
        <w:ind w:firstLine="640" w:firstLineChars="200"/>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titlePg/>
          <w:docGrid w:type="lines" w:linePitch="312" w:charSpace="0"/>
        </w:sectPr>
      </w:pPr>
    </w:p>
    <w:p>
      <w:pPr>
        <w:pStyle w:val="47"/>
        <w:keepNext w:val="0"/>
        <w:keepLines w:val="0"/>
        <w:pageBreakBefore w:val="0"/>
        <w:widowControl w:val="0"/>
        <w:kinsoku/>
        <w:wordWrap/>
        <w:overflowPunct/>
        <w:topLinePunct w:val="0"/>
        <w:autoSpaceDE/>
        <w:autoSpaceDN/>
        <w:bidi w:val="0"/>
        <w:spacing w:line="576" w:lineRule="exact"/>
        <w:ind w:left="0" w:leftChars="0" w:firstLine="880" w:firstLineChars="200"/>
        <w:jc w:val="center"/>
        <w:textAlignment w:val="auto"/>
        <w:rPr>
          <w:rFonts w:hint="default" w:ascii="Times New Roman" w:hAnsi="Times New Roman" w:eastAsia="方正小标宋简体" w:cs="Times New Roman"/>
          <w:color w:val="auto"/>
          <w:kern w:val="2"/>
          <w:sz w:val="44"/>
          <w:szCs w:val="44"/>
          <w:highlight w:val="none"/>
          <w:lang w:val="en-US" w:eastAsia="zh-CN"/>
        </w:rPr>
      </w:pPr>
      <w:r>
        <w:rPr>
          <w:rFonts w:hint="eastAsia" w:ascii="Times New Roman" w:hAnsi="Times New Roman" w:eastAsia="方正小标宋简体" w:cs="Times New Roman"/>
          <w:color w:val="auto"/>
          <w:kern w:val="2"/>
          <w:sz w:val="44"/>
          <w:szCs w:val="44"/>
          <w:highlight w:val="none"/>
          <w:lang w:val="en-US" w:eastAsia="zh-CN"/>
        </w:rPr>
        <w:t>广元市救助管理站改造提升建设</w:t>
      </w:r>
      <w:r>
        <w:rPr>
          <w:rFonts w:hint="default" w:ascii="Times New Roman" w:hAnsi="Times New Roman" w:eastAsia="方正小标宋简体" w:cs="Times New Roman"/>
          <w:color w:val="auto"/>
          <w:kern w:val="2"/>
          <w:sz w:val="44"/>
          <w:szCs w:val="44"/>
          <w:highlight w:val="none"/>
          <w:lang w:val="en-US" w:eastAsia="zh-CN"/>
        </w:rPr>
        <w:t>专项预算绩效自评报告</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8" w:lineRule="exact"/>
        <w:ind w:left="0" w:leftChars="0" w:firstLine="642" w:firstLineChars="200"/>
        <w:contextualSpacing/>
        <w:jc w:val="left"/>
        <w:textAlignment w:val="auto"/>
        <w:rPr>
          <w:rFonts w:hint="default" w:ascii="楷体_GB2312" w:hAnsi="宋体" w:eastAsia="楷体_GB2312" w:cs="Times New Roman"/>
          <w:b/>
          <w:color w:val="auto"/>
          <w:sz w:val="32"/>
          <w:szCs w:val="32"/>
          <w:highlight w:val="none"/>
          <w:u w:val="none"/>
          <w:lang w:val="zh-CN"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（一）设立背景及基本情况。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项目设立原因及背景，</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救助管理站改造提升建设项目</w:t>
      </w:r>
      <w:r>
        <w:rPr>
          <w:rFonts w:hint="eastAsia" w:ascii="仿宋_GB2312" w:hAnsi="仿宋_GB2312" w:eastAsia="仿宋_GB2312" w:cs="仿宋_GB2312"/>
          <w:sz w:val="32"/>
          <w:szCs w:val="32"/>
          <w:lang w:val="en-US" w:eastAsia="zh-CN"/>
        </w:rPr>
        <w:t>设立原因是旨在落实《国务院办公厅关于加强和改进流浪未成年人救助工作的意见》，完善救助工作体系，保障流浪乞讨人员人身安全和基本生活，提升救助管理服务水平</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zh-CN" w:eastAsia="zh-CN"/>
        </w:rPr>
        <w:t>项目立项、资金申报的依据，</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项目立项、资金申报的依据主要是本单位职能职责及年度工作计划。</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zh-CN" w:eastAsia="zh-CN"/>
        </w:rPr>
        <w:t>项目主要内容</w:t>
      </w:r>
      <w:r>
        <w:rPr>
          <w:rFonts w:hint="default" w:ascii="仿宋_GB2312" w:hAnsi="仿宋_GB2312" w:eastAsia="仿宋_GB2312" w:cs="仿宋_GB2312"/>
          <w:sz w:val="32"/>
          <w:szCs w:val="32"/>
          <w:lang w:val="en-US"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救助管理站改造提升建设项目</w:t>
      </w:r>
      <w:r>
        <w:rPr>
          <w:rFonts w:hint="eastAsia" w:ascii="仿宋_GB2312" w:hAnsi="仿宋_GB2312" w:eastAsia="仿宋_GB2312" w:cs="仿宋_GB2312"/>
          <w:sz w:val="32"/>
          <w:szCs w:val="32"/>
          <w:lang w:val="en-US" w:eastAsia="zh-CN"/>
        </w:rPr>
        <w:t>主要内容是</w:t>
      </w:r>
      <w:r>
        <w:rPr>
          <w:rFonts w:hint="default" w:ascii="仿宋_GB2312" w:hAnsi="仿宋_GB2312" w:eastAsia="仿宋_GB2312" w:cs="仿宋_GB2312"/>
          <w:sz w:val="32"/>
          <w:szCs w:val="32"/>
          <w:lang w:val="en-US" w:eastAsia="zh-CN"/>
        </w:rPr>
        <w:t>床位扩容与建筑改造 通过新建或改建救助保护中心，增加床位数量，优化空间布局</w:t>
      </w:r>
      <w:r>
        <w:rPr>
          <w:rFonts w:hint="eastAsia" w:ascii="仿宋_GB2312" w:hAnsi="仿宋_GB2312" w:eastAsia="仿宋_GB2312" w:cs="仿宋_GB2312"/>
          <w:sz w:val="32"/>
          <w:szCs w:val="32"/>
          <w:lang w:val="en-US" w:eastAsia="zh-CN"/>
        </w:rPr>
        <w:t>，保障流浪乞讨人员人身安全和基本生活。</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zh-CN" w:eastAsia="zh-CN"/>
        </w:rPr>
        <w:t>主管部门职能。</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en-US" w:eastAsia="zh-CN"/>
        </w:rPr>
        <w:t>救助管理站改造提升建设</w:t>
      </w:r>
      <w:r>
        <w:rPr>
          <w:rFonts w:hint="eastAsia" w:ascii="仿宋_GB2312" w:hAnsi="仿宋_GB2312" w:eastAsia="仿宋_GB2312" w:cs="仿宋_GB2312"/>
          <w:sz w:val="32"/>
          <w:szCs w:val="32"/>
          <w:lang w:val="zh-CN" w:eastAsia="zh-CN"/>
        </w:rPr>
        <w:t>项目的主管部门职能广泛，包括但不限于资金管理、政策实施、救助服务提供，以及跨部门协作，以确保社会救助工作的有效实施和资源的合理分配。</w:t>
      </w:r>
    </w:p>
    <w:p>
      <w:pPr>
        <w:keepNext w:val="0"/>
        <w:keepLines w:val="0"/>
        <w:pageBreakBefore w:val="0"/>
        <w:numPr>
          <w:ilvl w:val="0"/>
          <w:numId w:val="7"/>
        </w:numPr>
        <w:kinsoku/>
        <w:wordWrap/>
        <w:overflowPunct/>
        <w:topLinePunct w:val="0"/>
        <w:autoSpaceDE/>
        <w:autoSpaceDN/>
        <w:bidi w:val="0"/>
        <w:spacing w:line="576" w:lineRule="exact"/>
        <w:ind w:firstLine="642" w:firstLineChars="200"/>
        <w:textAlignment w:val="auto"/>
        <w:rPr>
          <w:rFonts w:hint="eastAsia" w:ascii="楷体_GB2312" w:hAnsi="宋体" w:eastAsia="楷体_GB2312" w:cs="Times New Roman"/>
          <w:b/>
          <w:color w:val="auto"/>
          <w:sz w:val="32"/>
          <w:szCs w:val="32"/>
          <w:highlight w:val="none"/>
          <w:u w:val="none"/>
          <w:lang w:val="en-US" w:eastAsia="zh-CN"/>
        </w:rPr>
      </w:pP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项目资金</w:t>
      </w:r>
      <w:r>
        <w:rPr>
          <w:rFonts w:hint="default" w:ascii="仿宋_GB2312" w:hAnsi="仿宋_GB2312" w:eastAsia="仿宋_GB2312" w:cs="仿宋_GB2312"/>
          <w:sz w:val="32"/>
          <w:szCs w:val="32"/>
          <w:lang w:val="zh-CN" w:eastAsia="zh-CN"/>
        </w:rPr>
        <w:t>管理办法制定情况，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救助管理站改造提升建设</w:t>
      </w:r>
      <w:r>
        <w:rPr>
          <w:rFonts w:hint="eastAsia" w:ascii="仿宋_GB2312" w:hAnsi="仿宋_GB2312" w:eastAsia="仿宋_GB2312" w:cs="仿宋_GB2312"/>
          <w:sz w:val="32"/>
          <w:szCs w:val="32"/>
          <w:lang w:val="en-US" w:eastAsia="zh-CN"/>
        </w:rPr>
        <w:t>项目经费实施目的及支持方向是确保完善救助工作体系，提高救助效率，保障困难群体的基本生活权益，促进社会公平与和谐。</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1、保障困难群体基本生活：通过提供必要的工作经费，确保社会救助政策能够得到有效执行，使困难群体能够及时获得必要的生活救助，保障其基本生活不受影响。</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2、促进社会公平与和谐：社会救助是国家社会保障体系的重要组成部分，通过合理的工作经费支持，有助于缩小社会贫富差距，促进社会公平与和谐。</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3、提高救助工作效率：充足的工作经费可以支持社会救助机构加强人员培训、信息化建设等工作，提高救助工作的专业性和效率。</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zh-CN" w:eastAsia="zh-CN"/>
        </w:rPr>
        <w:t>项目实施目的</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救助管理站改造提升建设</w:t>
      </w:r>
      <w:r>
        <w:rPr>
          <w:rFonts w:hint="eastAsia" w:ascii="仿宋_GB2312" w:hAnsi="仿宋_GB2312" w:eastAsia="仿宋_GB2312" w:cs="仿宋_GB2312"/>
          <w:sz w:val="32"/>
          <w:szCs w:val="32"/>
          <w:lang w:val="en-US" w:eastAsia="zh-CN"/>
        </w:rPr>
        <w:t>项目</w:t>
      </w:r>
      <w:r>
        <w:rPr>
          <w:rFonts w:hint="default" w:ascii="仿宋_GB2312" w:hAnsi="仿宋_GB2312" w:eastAsia="仿宋_GB2312" w:cs="仿宋_GB2312"/>
          <w:sz w:val="32"/>
          <w:szCs w:val="32"/>
          <w:lang w:val="zh-CN" w:eastAsia="zh-CN"/>
        </w:rPr>
        <w:t>实施目的</w:t>
      </w:r>
      <w:r>
        <w:rPr>
          <w:rFonts w:hint="eastAsia" w:ascii="仿宋_GB2312" w:hAnsi="仿宋_GB2312" w:eastAsia="仿宋_GB2312" w:cs="仿宋_GB2312"/>
          <w:sz w:val="32"/>
          <w:szCs w:val="32"/>
          <w:lang w:val="en-US" w:eastAsia="zh-CN"/>
        </w:rPr>
        <w:t>是提升救助服务水平。</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zh-CN" w:eastAsia="zh-CN"/>
        </w:rPr>
        <w:t>主要工作任务，</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en-US" w:eastAsia="zh-CN"/>
        </w:rPr>
        <w:t>救助管理站改造提升建设</w:t>
      </w:r>
      <w:r>
        <w:rPr>
          <w:rFonts w:hint="eastAsia" w:ascii="仿宋_GB2312" w:hAnsi="仿宋_GB2312" w:eastAsia="仿宋_GB2312" w:cs="仿宋_GB2312"/>
          <w:sz w:val="32"/>
          <w:szCs w:val="32"/>
          <w:lang w:val="en-US" w:eastAsia="zh-CN"/>
        </w:rPr>
        <w:t>项目</w:t>
      </w:r>
      <w:r>
        <w:rPr>
          <w:rFonts w:hint="default" w:ascii="仿宋_GB2312" w:hAnsi="仿宋_GB2312" w:eastAsia="仿宋_GB2312" w:cs="仿宋_GB2312"/>
          <w:sz w:val="32"/>
          <w:szCs w:val="32"/>
          <w:lang w:val="en-US" w:eastAsia="zh-CN"/>
        </w:rPr>
        <w:t>以 “硬件升级+科技赋能+服务创新” 为核心，涵盖基础设施扩建、智能化管理、服务功能优化及安全能力强化等多维度内容。通过标准化建设和区域试点探索，推动救助服务从“基础保障”向“精准化、人性化”转型</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zh-CN" w:eastAsia="zh-CN"/>
        </w:rPr>
        <w:t>项目支持方向。</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通过本次改造，提升广元市救助站救助能力</w:t>
      </w:r>
      <w:r>
        <w:rPr>
          <w:rFonts w:hint="eastAsia" w:ascii="仿宋_GB2312" w:hAnsi="仿宋_GB2312" w:eastAsia="仿宋_GB2312" w:cs="仿宋_GB2312"/>
          <w:sz w:val="32"/>
          <w:szCs w:val="32"/>
          <w:lang w:val="zh-CN" w:eastAsia="zh-CN"/>
        </w:rPr>
        <w:t>。</w:t>
      </w:r>
    </w:p>
    <w:p>
      <w:pPr>
        <w:keepNext w:val="0"/>
        <w:keepLines w:val="0"/>
        <w:pageBreakBefore w:val="0"/>
        <w:numPr>
          <w:ilvl w:val="0"/>
          <w:numId w:val="7"/>
        </w:numPr>
        <w:kinsoku/>
        <w:wordWrap/>
        <w:overflowPunct/>
        <w:topLinePunct w:val="0"/>
        <w:autoSpaceDE/>
        <w:autoSpaceDN/>
        <w:bidi w:val="0"/>
        <w:spacing w:line="576" w:lineRule="exact"/>
        <w:ind w:left="0" w:leftChars="0" w:firstLine="642" w:firstLineChars="200"/>
        <w:textAlignment w:val="auto"/>
        <w:rPr>
          <w:rFonts w:hint="eastAsia"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p>
    <w:p>
      <w:pPr>
        <w:keepNext w:val="0"/>
        <w:keepLines w:val="0"/>
        <w:pageBreakBefore w:val="0"/>
        <w:numPr>
          <w:ilvl w:val="0"/>
          <w:numId w:val="0"/>
        </w:numPr>
        <w:kinsoku/>
        <w:wordWrap/>
        <w:overflowPunct/>
        <w:topLinePunct w:val="0"/>
        <w:autoSpaceDE/>
        <w:autoSpaceDN/>
        <w:bidi w:val="0"/>
        <w:spacing w:line="576" w:lineRule="exact"/>
        <w:ind w:leftChars="200"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zh-CN" w:eastAsia="zh-CN"/>
        </w:rPr>
        <w:t>项目预算安排情况，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en-US" w:eastAsia="zh-CN"/>
        </w:rPr>
        <w:t>救助管理站改造提升建设</w:t>
      </w:r>
      <w:r>
        <w:rPr>
          <w:rFonts w:hint="eastAsia" w:ascii="仿宋_GB2312" w:hAnsi="仿宋_GB2312" w:eastAsia="仿宋_GB2312" w:cs="仿宋_GB2312"/>
          <w:sz w:val="32"/>
          <w:szCs w:val="32"/>
          <w:lang w:val="en-US" w:eastAsia="zh-CN"/>
        </w:rPr>
        <w:t>项目</w:t>
      </w:r>
      <w:r>
        <w:rPr>
          <w:rFonts w:hint="default" w:ascii="仿宋_GB2312" w:hAnsi="仿宋_GB2312" w:eastAsia="仿宋_GB2312" w:cs="仿宋_GB2312"/>
          <w:sz w:val="32"/>
          <w:szCs w:val="32"/>
          <w:lang w:val="zh-CN" w:eastAsia="zh-CN"/>
        </w:rPr>
        <w:t>资金</w:t>
      </w:r>
      <w:r>
        <w:rPr>
          <w:rFonts w:hint="eastAsia" w:ascii="仿宋_GB2312" w:hAnsi="仿宋_GB2312" w:eastAsia="仿宋_GB2312" w:cs="仿宋_GB2312"/>
          <w:sz w:val="32"/>
          <w:szCs w:val="32"/>
          <w:lang w:val="en-US" w:eastAsia="zh-CN"/>
        </w:rPr>
        <w:t>作</w:t>
      </w:r>
      <w:r>
        <w:rPr>
          <w:rFonts w:hint="default" w:ascii="仿宋_GB2312" w:hAnsi="仿宋_GB2312" w:eastAsia="仿宋_GB2312" w:cs="仿宋_GB2312"/>
          <w:sz w:val="32"/>
          <w:szCs w:val="32"/>
          <w:lang w:val="zh-CN" w:eastAsia="zh-CN"/>
        </w:rPr>
        <w:t>为</w:t>
      </w:r>
      <w:r>
        <w:rPr>
          <w:rFonts w:hint="eastAsia" w:ascii="仿宋_GB2312" w:hAnsi="仿宋_GB2312" w:eastAsia="仿宋_GB2312" w:cs="仿宋_GB2312"/>
          <w:sz w:val="32"/>
          <w:szCs w:val="32"/>
          <w:lang w:val="en-US" w:eastAsia="zh-CN"/>
        </w:rPr>
        <w:t>延续性</w:t>
      </w:r>
      <w:r>
        <w:rPr>
          <w:rFonts w:hint="default" w:ascii="仿宋_GB2312" w:hAnsi="仿宋_GB2312" w:eastAsia="仿宋_GB2312" w:cs="仿宋_GB2312"/>
          <w:sz w:val="32"/>
          <w:szCs w:val="32"/>
          <w:lang w:val="zh-CN" w:eastAsia="zh-CN"/>
        </w:rPr>
        <w:t>项目，项目起止年限为</w:t>
      </w:r>
      <w:r>
        <w:rPr>
          <w:rFonts w:hint="eastAsia" w:ascii="仿宋_GB2312" w:hAnsi="仿宋_GB2312" w:eastAsia="仿宋_GB2312" w:cs="仿宋_GB2312"/>
          <w:sz w:val="32"/>
          <w:szCs w:val="32"/>
          <w:lang w:val="en-US" w:eastAsia="zh-CN"/>
        </w:rPr>
        <w:t>长期</w:t>
      </w:r>
      <w:r>
        <w:rPr>
          <w:rFonts w:hint="default" w:ascii="仿宋_GB2312" w:hAnsi="仿宋_GB2312" w:eastAsia="仿宋_GB2312" w:cs="仿宋_GB2312"/>
          <w:sz w:val="32"/>
          <w:szCs w:val="32"/>
          <w:lang w:val="zh-CN" w:eastAsia="zh-CN"/>
        </w:rPr>
        <w:t>，即该项目资金专门用于</w:t>
      </w:r>
      <w:r>
        <w:rPr>
          <w:rFonts w:hint="eastAsia" w:ascii="仿宋_GB2312" w:hAnsi="仿宋_GB2312" w:eastAsia="仿宋_GB2312" w:cs="仿宋_GB2312"/>
          <w:sz w:val="32"/>
          <w:szCs w:val="32"/>
          <w:lang w:val="en-US" w:eastAsia="zh-CN"/>
        </w:rPr>
        <w:t>建设项目改造</w:t>
      </w:r>
      <w:r>
        <w:rPr>
          <w:rFonts w:hint="default" w:ascii="仿宋_GB2312" w:hAnsi="仿宋_GB2312" w:eastAsia="仿宋_GB2312" w:cs="仿宋_GB2312"/>
          <w:sz w:val="32"/>
          <w:szCs w:val="32"/>
          <w:lang w:val="zh-CN" w:eastAsia="zh-CN"/>
        </w:rPr>
        <w:t>。年度资金总额为</w:t>
      </w:r>
      <w:r>
        <w:rPr>
          <w:rFonts w:hint="eastAsia" w:ascii="仿宋_GB2312" w:hAnsi="仿宋_GB2312" w:eastAsia="仿宋_GB2312" w:cs="仿宋_GB2312"/>
          <w:sz w:val="32"/>
          <w:szCs w:val="32"/>
          <w:lang w:val="en-US" w:eastAsia="zh-CN"/>
        </w:rPr>
        <w:t>342</w:t>
      </w:r>
      <w:r>
        <w:rPr>
          <w:rFonts w:hint="default" w:ascii="仿宋_GB2312" w:hAnsi="仿宋_GB2312" w:eastAsia="仿宋_GB2312" w:cs="仿宋_GB2312"/>
          <w:sz w:val="32"/>
          <w:szCs w:val="32"/>
          <w:lang w:val="zh-CN" w:eastAsia="zh-CN"/>
        </w:rPr>
        <w:t>万元，全部来源于财政拨款。</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zh-CN" w:eastAsia="zh-CN"/>
        </w:rPr>
        <w:t>项目资金分配原则及考虑因素，</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遵循公平、公正、公开的原则，确保资金分配透明、合理</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zh-CN" w:eastAsia="zh-CN"/>
        </w:rPr>
        <w:t>项目资金分配情况。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该项目资金严格按照财务管理制度，规范使用，不存在虚报项目套取财政资金和不符合申报条件的情况。项目资金专款专用，不存在截留、挤占、挪用等情况。</w:t>
      </w:r>
    </w:p>
    <w:p>
      <w:pPr>
        <w:keepNext w:val="0"/>
        <w:keepLines w:val="0"/>
        <w:pageBreakBefore w:val="0"/>
        <w:numPr>
          <w:ilvl w:val="0"/>
          <w:numId w:val="7"/>
        </w:numPr>
        <w:kinsoku/>
        <w:wordWrap/>
        <w:overflowPunct/>
        <w:topLinePunct w:val="0"/>
        <w:autoSpaceDE/>
        <w:autoSpaceDN/>
        <w:bidi w:val="0"/>
        <w:spacing w:line="576" w:lineRule="exact"/>
        <w:ind w:left="0" w:leftChars="0" w:firstLine="642" w:firstLineChars="200"/>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项目绩效目标设置。</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zh-CN" w:eastAsia="zh-CN"/>
        </w:rPr>
        <w:t>项目整体</w:t>
      </w:r>
      <w:r>
        <w:rPr>
          <w:rFonts w:hint="eastAsia" w:ascii="仿宋_GB2312" w:hAnsi="仿宋_GB2312" w:eastAsia="仿宋_GB2312" w:cs="仿宋_GB2312"/>
          <w:sz w:val="32"/>
          <w:szCs w:val="32"/>
          <w:lang w:val="en-US" w:eastAsia="zh-CN"/>
        </w:rPr>
        <w:t>绩效指标</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该项目</w:t>
      </w:r>
      <w:r>
        <w:rPr>
          <w:rFonts w:hint="eastAsia" w:ascii="仿宋_GB2312" w:hAnsi="仿宋_GB2312" w:eastAsia="仿宋_GB2312" w:cs="仿宋_GB2312"/>
          <w:sz w:val="32"/>
          <w:szCs w:val="32"/>
          <w:lang w:val="en-US" w:eastAsia="zh-CN"/>
        </w:rPr>
        <w:t>为广元市救助站</w:t>
      </w:r>
      <w:r>
        <w:rPr>
          <w:rFonts w:hint="default" w:ascii="仿宋_GB2312" w:hAnsi="仿宋_GB2312" w:eastAsia="仿宋_GB2312" w:cs="仿宋_GB2312"/>
          <w:sz w:val="32"/>
          <w:szCs w:val="32"/>
          <w:lang w:val="zh-CN" w:eastAsia="zh-CN"/>
        </w:rPr>
        <w:t>负责的改造提升建设项目，属于部门项目，为</w:t>
      </w:r>
      <w:r>
        <w:rPr>
          <w:rFonts w:hint="eastAsia" w:ascii="仿宋_GB2312" w:hAnsi="仿宋_GB2312" w:eastAsia="仿宋_GB2312" w:cs="仿宋_GB2312"/>
          <w:sz w:val="32"/>
          <w:szCs w:val="32"/>
          <w:lang w:val="en-US" w:eastAsia="zh-CN"/>
        </w:rPr>
        <w:t>延续性</w:t>
      </w:r>
      <w:r>
        <w:rPr>
          <w:rFonts w:hint="default" w:ascii="仿宋_GB2312" w:hAnsi="仿宋_GB2312" w:eastAsia="仿宋_GB2312" w:cs="仿宋_GB2312"/>
          <w:sz w:val="32"/>
          <w:szCs w:val="32"/>
          <w:lang w:val="zh-CN" w:eastAsia="zh-CN"/>
        </w:rPr>
        <w:t>项目，项目周期为1年。项目资金总额为</w:t>
      </w:r>
      <w:r>
        <w:rPr>
          <w:rFonts w:hint="eastAsia" w:ascii="仿宋_GB2312" w:hAnsi="仿宋_GB2312" w:eastAsia="仿宋_GB2312" w:cs="仿宋_GB2312"/>
          <w:sz w:val="32"/>
          <w:szCs w:val="32"/>
          <w:lang w:val="en-US" w:eastAsia="zh-CN"/>
        </w:rPr>
        <w:t>342</w:t>
      </w:r>
      <w:r>
        <w:rPr>
          <w:rFonts w:hint="default" w:ascii="仿宋_GB2312" w:hAnsi="仿宋_GB2312" w:eastAsia="仿宋_GB2312" w:cs="仿宋_GB2312"/>
          <w:sz w:val="32"/>
          <w:szCs w:val="32"/>
          <w:lang w:val="zh-CN" w:eastAsia="zh-CN"/>
        </w:rPr>
        <w:t>万元，全部为财政拨款</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zh-CN" w:eastAsia="zh-CN"/>
        </w:rPr>
        <w:t>具体绩效目标设置情况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zh-CN" w:eastAsia="zh-CN"/>
        </w:rPr>
        <w:t>数量指标‌：</w:t>
      </w:r>
      <w:r>
        <w:rPr>
          <w:rFonts w:hint="eastAsia" w:ascii="仿宋_GB2312" w:hAnsi="仿宋_GB2312" w:eastAsia="仿宋_GB2312" w:cs="仿宋_GB2312"/>
          <w:sz w:val="32"/>
          <w:szCs w:val="32"/>
          <w:lang w:val="en-US" w:eastAsia="zh-CN"/>
        </w:rPr>
        <w:t>床位=190张</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改造总建筑面积</w:t>
      </w:r>
      <w:r>
        <w:rPr>
          <w:rFonts w:hint="eastAsia" w:ascii="仿宋_GB2312" w:hAnsi="仿宋_GB2312" w:eastAsia="仿宋_GB2312" w:cs="仿宋_GB2312"/>
          <w:sz w:val="32"/>
          <w:szCs w:val="32"/>
          <w:lang w:val="en-US" w:eastAsia="zh-CN"/>
        </w:rPr>
        <w:t>=4695平方米</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质量指标‌：项目建设质量达标率≥</w:t>
      </w:r>
      <w:r>
        <w:rPr>
          <w:rFonts w:hint="eastAsia" w:ascii="仿宋_GB2312" w:hAnsi="仿宋_GB2312" w:eastAsia="仿宋_GB2312" w:cs="仿宋_GB2312"/>
          <w:sz w:val="32"/>
          <w:szCs w:val="32"/>
          <w:lang w:val="en-US" w:eastAsia="zh-CN"/>
        </w:rPr>
        <w:t>100</w:t>
      </w:r>
      <w:r>
        <w:rPr>
          <w:rFonts w:hint="default"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时效指标‌：项目完成时间≤</w:t>
      </w:r>
      <w:r>
        <w:rPr>
          <w:rFonts w:hint="eastAsia" w:ascii="仿宋_GB2312" w:hAnsi="仿宋_GB2312" w:eastAsia="仿宋_GB2312" w:cs="仿宋_GB2312"/>
          <w:sz w:val="32"/>
          <w:szCs w:val="32"/>
          <w:lang w:val="en-US" w:eastAsia="zh-CN"/>
        </w:rPr>
        <w:t>1年</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生态效益指标‌：公众对环境质量满意度</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服务对象满意度‌：受益群众满意度≥9</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经济成本‌：改造外墙3</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zh-CN" w:eastAsia="zh-CN"/>
        </w:rPr>
        <w:t>326平方米，拆除室内隔墙326平方米，新建室内隔墙640平方米≤</w:t>
      </w:r>
      <w:r>
        <w:rPr>
          <w:rFonts w:hint="eastAsia" w:ascii="仿宋_GB2312" w:hAnsi="仿宋_GB2312" w:eastAsia="仿宋_GB2312" w:cs="仿宋_GB2312"/>
          <w:sz w:val="32"/>
          <w:szCs w:val="32"/>
          <w:lang w:val="en-US" w:eastAsia="zh-CN"/>
        </w:rPr>
        <w:t>342万元</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zh-CN" w:eastAsia="zh-CN"/>
        </w:rPr>
        <w:t>项目自评工作开展情况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zh-CN" w:eastAsia="zh-CN"/>
        </w:rPr>
        <w:t>根据项目自评表的内容，项目自评工作已经按照预定的绩效指标进行了全面的评估。自评结果显示，各项绩效指标均已完成或超额完成，表明项目绩效目标设置合理，执行情况良好。通过自评工作，进一步验证了项目的有效性和可行性，为后续项目的实施提供了有益的参考和借鉴。</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评价实施</w:t>
      </w:r>
    </w:p>
    <w:p>
      <w:pPr>
        <w:keepNext w:val="0"/>
        <w:keepLines w:val="0"/>
        <w:pageBreakBefore w:val="0"/>
        <w:kinsoku/>
        <w:wordWrap/>
        <w:overflowPunct/>
        <w:topLinePunct w:val="0"/>
        <w:autoSpaceDE/>
        <w:autoSpaceDN/>
        <w:bidi w:val="0"/>
        <w:spacing w:line="576" w:lineRule="exact"/>
        <w:ind w:firstLine="642" w:firstLineChars="20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（一）评价目的。</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通过本次改造，提升广元市救助站救助能力。</w:t>
      </w:r>
    </w:p>
    <w:p>
      <w:pPr>
        <w:keepNext w:val="0"/>
        <w:keepLines w:val="0"/>
        <w:pageBreakBefore w:val="0"/>
        <w:numPr>
          <w:ilvl w:val="0"/>
          <w:numId w:val="8"/>
        </w:numPr>
        <w:kinsoku/>
        <w:wordWrap/>
        <w:overflowPunct/>
        <w:topLinePunct w:val="0"/>
        <w:autoSpaceDE/>
        <w:autoSpaceDN/>
        <w:bidi w:val="0"/>
        <w:spacing w:line="576" w:lineRule="exact"/>
        <w:ind w:firstLine="642" w:firstLineChars="20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预设问题及评价重点。</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1.预设问题</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制度设计不完善‌</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未结合本地实际制定专项管理制度或实施细则，仅依赖上级文件‌</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定性指标过多，缺乏量化标准（如满意度调查未明确样本量、达标值）‌</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未建立分层响应机制，难以匹配差异化需求（如困境儿童、流浪人员等特殊群体）‌</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2.评价重点</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‌依据合规性‌：是否符合中央及地方政策</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分配合理性‌：资金是否优先保障重点群体</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‌时效性‌：在线业务办结率、救助响应速度</w:t>
      </w:r>
    </w:p>
    <w:p>
      <w:pPr>
        <w:keepNext w:val="0"/>
        <w:keepLines w:val="0"/>
        <w:pageBreakBefore w:val="0"/>
        <w:numPr>
          <w:ilvl w:val="0"/>
          <w:numId w:val="8"/>
        </w:numPr>
        <w:kinsoku/>
        <w:wordWrap/>
        <w:overflowPunct/>
        <w:topLinePunct w:val="0"/>
        <w:autoSpaceDE/>
        <w:autoSpaceDN/>
        <w:bidi w:val="0"/>
        <w:spacing w:line="576" w:lineRule="exact"/>
        <w:ind w:left="0" w:leftChars="0" w:firstLine="642" w:firstLineChars="20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评价选点。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在</w:t>
      </w:r>
      <w:r>
        <w:rPr>
          <w:rFonts w:hint="default" w:ascii="仿宋_GB2312" w:hAnsi="仿宋_GB2312" w:eastAsia="仿宋_GB2312" w:cs="仿宋_GB2312"/>
          <w:sz w:val="32"/>
          <w:szCs w:val="32"/>
          <w:lang w:val="zh-CN" w:eastAsia="zh-CN"/>
        </w:rPr>
        <w:t>改造提升建设项目</w:t>
      </w:r>
      <w:r>
        <w:rPr>
          <w:rFonts w:hint="eastAsia" w:ascii="仿宋_GB2312" w:hAnsi="仿宋_GB2312" w:eastAsia="仿宋_GB2312" w:cs="仿宋_GB2312"/>
          <w:sz w:val="32"/>
          <w:szCs w:val="32"/>
          <w:lang w:val="zh-CN" w:eastAsia="zh-CN"/>
        </w:rPr>
        <w:t>项目的执行过程中，我们预设了一系列问题以待评价，包括：项目资金是否按照预算和规定用途合理分配和使用？项目实施过程中是否存在管理漏洞或效率低下的问题？项目的受益群体是否真正实现了就业创业能力的提升？以及项目是否达到了预期的社会和经济效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价重点将集中在资金支出使用的全过程及其实施效果上。首先，针对资金支出，我们将重点关注合规性、效率性和经济性，确保资金的合理运用。其次，在实施效果方面，我们将着重评价项目的目标达成度、效益性、影响力和持续性，以综合判断项目是否成功实现了既定目标。</w:t>
      </w:r>
    </w:p>
    <w:p>
      <w:pPr>
        <w:keepNext w:val="0"/>
        <w:keepLines w:val="0"/>
        <w:pageBreakBefore w:val="0"/>
        <w:numPr>
          <w:ilvl w:val="0"/>
          <w:numId w:val="6"/>
        </w:numPr>
        <w:kinsoku/>
        <w:wordWrap/>
        <w:overflowPunct/>
        <w:topLinePunct w:val="0"/>
        <w:autoSpaceDE/>
        <w:autoSpaceDN/>
        <w:bidi w:val="0"/>
        <w:spacing w:line="576" w:lineRule="exact"/>
        <w:ind w:left="0" w:leftChars="0" w:firstLine="642" w:firstLineChars="200"/>
        <w:textAlignment w:val="auto"/>
        <w:rPr>
          <w:rFonts w:hint="default" w:ascii="楷体_GB2312" w:hAnsi="宋体" w:eastAsia="楷体_GB2312"/>
          <w:b/>
          <w:color w:val="auto"/>
          <w:sz w:val="32"/>
          <w:szCs w:val="32"/>
          <w:highlight w:val="none"/>
          <w:u w:val="none"/>
          <w:lang w:val="zh-CN" w:eastAsia="zh-CN"/>
        </w:rPr>
      </w:pPr>
      <w:r>
        <w:rPr>
          <w:rFonts w:hint="default" w:ascii="楷体_GB2312" w:hAnsi="宋体" w:eastAsia="楷体_GB2312"/>
          <w:b/>
          <w:color w:val="auto"/>
          <w:sz w:val="32"/>
          <w:szCs w:val="32"/>
          <w:highlight w:val="none"/>
          <w:u w:val="none"/>
          <w:lang w:val="zh-CN" w:eastAsia="zh-CN"/>
        </w:rPr>
        <w:t>评价方法</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自评中，根据项目情况和评价重点，我单位主要采用方法包括：单位自评法、实地勘察法、问卷调查法、座谈调研法等多种方法。</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（五）评价组织</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评价组由以下人员构成，并根据各自专业背景和经验进行职责分工：</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、评价组人员构成</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）评价组组长：由具备丰富项目管理经验和高级职称的专家担任，负责评价工作的总体指挥和协调。</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）财务专家：负责审核项目资金使用的合规性、合理性和效益性。</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）项目管理专家：负责评估项目实施过程的管理效率、风险控制及进度控制。</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）社会学专家：负责评价项目的社会影响力和受益群体的满意度。</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eastAsia="zh-CN"/>
        </w:rPr>
        <w:t>）统计分析人员：负责问卷数据的收集、整理和分析工作。</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、职责分工</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）评价组组长：负责制定评价方案，组织评价组成员开展评价工作，审核评价报告，并对评价结果负责。</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）财务专家：审查项目财务报表，评估资金使用的效率和效果，提出财务方面的评价意见和建议。</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）项目管理专家：审查项目实施方案，评估项目管理流程，识别项目管理中的问题和风险，并提出改进措施。</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）社会学专家：通过座谈会、访谈等方式，收集项目受益群体的反馈，评估项目的社会效益和影响力。</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eastAsia="zh-CN"/>
        </w:rPr>
        <w:t>）统计分析人员：负责设计问卷、收集数据、进行数据分析，为评价报告提供数据支持。</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通过明确的职责分工，评价组将协同合作，确保</w:t>
      </w:r>
      <w:r>
        <w:rPr>
          <w:rFonts w:hint="eastAsia" w:ascii="仿宋_GB2312" w:hAnsi="仿宋_GB2312" w:eastAsia="仿宋_GB2312" w:cs="仿宋_GB2312"/>
          <w:sz w:val="32"/>
          <w:szCs w:val="32"/>
          <w:lang w:val="en-US" w:eastAsia="zh-CN"/>
        </w:rPr>
        <w:t>社会救助</w:t>
      </w:r>
      <w:r>
        <w:rPr>
          <w:rFonts w:hint="eastAsia" w:ascii="仿宋_GB2312" w:hAnsi="仿宋_GB2312" w:eastAsia="仿宋_GB2312" w:cs="仿宋_GB2312"/>
          <w:sz w:val="32"/>
          <w:szCs w:val="32"/>
          <w:lang w:val="zh-CN" w:eastAsia="zh-CN"/>
        </w:rPr>
        <w:t>项目评价工作的科学性、公正性和有效性。</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三、绩效分析</w:t>
      </w:r>
      <w:r>
        <w:rPr>
          <w:rFonts w:hint="eastAsia" w:ascii="黑体" w:hAnsi="黑体" w:eastAsia="黑体" w:cs="黑体"/>
          <w:sz w:val="32"/>
          <w:szCs w:val="32"/>
          <w:lang w:val="zh-CN" w:eastAsia="zh-CN"/>
        </w:rPr>
        <w:tab/>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2" w:firstLineChars="200"/>
        <w:textAlignment w:val="auto"/>
        <w:outlineLvl w:val="9"/>
        <w:rPr>
          <w:rFonts w:hint="default" w:ascii="楷体_GB2312" w:hAnsi="宋体" w:eastAsia="楷体_GB2312" w:cs="Times New Roman"/>
          <w:b/>
          <w:color w:val="auto"/>
          <w:sz w:val="32"/>
          <w:szCs w:val="32"/>
          <w:highlight w:val="none"/>
          <w:u w:val="none"/>
          <w:lang w:val="en-US" w:eastAsia="zh-CN"/>
        </w:rPr>
      </w:pPr>
      <w:r>
        <w:rPr>
          <w:rFonts w:hint="default" w:ascii="楷体_GB2312" w:hAnsi="宋体" w:eastAsia="楷体_GB2312" w:cs="Times New Roman"/>
          <w:b/>
          <w:color w:val="auto"/>
          <w:sz w:val="32"/>
          <w:szCs w:val="32"/>
          <w:highlight w:val="none"/>
          <w:u w:val="none"/>
          <w:lang w:val="zh-CN" w:eastAsia="zh-CN"/>
        </w:rPr>
        <w:t>（一）</w:t>
      </w:r>
      <w:r>
        <w:rPr>
          <w:rFonts w:hint="default" w:ascii="楷体_GB2312" w:hAnsi="宋体" w:eastAsia="楷体_GB2312" w:cs="Times New Roman"/>
          <w:b/>
          <w:color w:val="auto"/>
          <w:sz w:val="32"/>
          <w:szCs w:val="32"/>
          <w:highlight w:val="none"/>
          <w:u w:val="none"/>
          <w:lang w:val="en-US" w:eastAsia="zh-CN"/>
        </w:rPr>
        <w:t>通用指标</w:t>
      </w:r>
      <w:r>
        <w:rPr>
          <w:rFonts w:hint="default" w:ascii="楷体_GB2312" w:hAnsi="宋体" w:eastAsia="楷体_GB2312" w:cs="Times New Roman"/>
          <w:b/>
          <w:color w:val="auto"/>
          <w:sz w:val="32"/>
          <w:szCs w:val="32"/>
          <w:highlight w:val="none"/>
          <w:u w:val="none"/>
          <w:lang w:val="zh-CN" w:eastAsia="zh-CN"/>
        </w:rPr>
        <w:t>绩效分析。</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项目决策</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①决策程序</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决策程序遵循了广元市委、市政府重要指示精神，以及可能的相关财政资金管理规定。虽然具体决策流程未在资料中明确列出，但可以推断该决策程序符合政策导向和实际需求，确保了项目的合法性和合规性。得分：6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②规划论证</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项目虽为延续性项目，但目标清晰，即为做好提升改造项目。资料中未提及具体的规划论证过程，但项目目标明确，与提升改造项目工作的整体规划和政策要求相契合。得分：6分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③资金投向</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项目资金全部来源于财政拨款，总额为342万元，专门用于老提升改造项目经费。资金投向明确，符合项目规划和政策要求。得分：5分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项目决策绩效得分：17分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2.项目管理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①制度办法</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资料中未明确提及具体的制度办法，但可以推断项目在实施过程中遵循了广元市委、市政府以及相关部门关于财政资金管理等方面的制度规定。得分：2分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②分配管理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金分配因素选取较为全面的考虑相关行业事业发展实际和发展需求，权重设置有效突出项目实施重点；区域分布结果公平较为合理。资金分配管理遵循了财政资金管理原则，确保了资金的合理分配和有效使用。得分：8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③绩效监管</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虽然具体绩效监管措施未在资料中明确列出，但项目在实施过程中必然接受了相关部门和单位的监督和检查，以确保项目目标的实现和资金的有效使用。得分：6分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项目管理绩效得分：16</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3.项目实施</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①预算执行</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项目资金全部为财政拨款，预算执行情况良好。虽然具体预算执行数据未在资料中明确列出，但根据项目目标和资金总额，以及项目实际完成情况，可以推断预算执行是符合计划要求的。</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得分：3分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②资金使用</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项目资金使用符合规划论证和决策程序的要求，专门用于改造提升项目经费。资金使用过程中遵循了财政资金管理原则，确保了资金的合规性和有效性。得分：3分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项目实施绩效得分：6分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4.项目结果</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①目标完成</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项目目标完成情况良好。根据资料中的数据，项目实际完成的</w:t>
      </w:r>
      <w:r>
        <w:rPr>
          <w:rFonts w:hint="default" w:ascii="仿宋_GB2312" w:hAnsi="仿宋_GB2312" w:eastAsia="仿宋_GB2312" w:cs="仿宋_GB2312"/>
          <w:sz w:val="32"/>
          <w:szCs w:val="32"/>
          <w:lang w:val="en-US" w:eastAsia="zh-CN"/>
        </w:rPr>
        <w:t>改造总建筑面积</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项目建设质量达标率</w:t>
      </w:r>
      <w:r>
        <w:rPr>
          <w:rFonts w:hint="eastAsia" w:ascii="仿宋_GB2312" w:hAnsi="仿宋_GB2312" w:eastAsia="仿宋_GB2312" w:cs="仿宋_GB2312"/>
          <w:sz w:val="32"/>
          <w:szCs w:val="32"/>
          <w:lang w:val="en-US" w:eastAsia="zh-CN"/>
        </w:rPr>
        <w:t>等指标均超过了预期目标值。得分：4分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②完成时效</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项目在规定的时间内顺利完成，确保了改造提升项目。虽然具体完成时效数据未在资料中明确列出，但根据项目目标和实际情况，可以推断项目完成时效是符合要求的。得分：3分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项目结果绩效得分：7分</w:t>
      </w:r>
    </w:p>
    <w:p>
      <w:pPr>
        <w:keepNext w:val="0"/>
        <w:keepLines w:val="0"/>
        <w:pageBreakBefore w:val="0"/>
        <w:kinsoku/>
        <w:wordWrap/>
        <w:overflowPunct/>
        <w:topLinePunct w:val="0"/>
        <w:autoSpaceDE/>
        <w:autoSpaceDN/>
        <w:bidi w:val="0"/>
        <w:spacing w:line="576" w:lineRule="exact"/>
        <w:ind w:firstLine="642" w:firstLineChars="200"/>
        <w:textAlignment w:val="auto"/>
        <w:rPr>
          <w:rFonts w:hint="default" w:ascii="仿宋_GB2312" w:hAnsi="仿宋_GB2312" w:eastAsia="仿宋_GB2312" w:cs="仿宋_GB2312"/>
          <w:sz w:val="32"/>
          <w:szCs w:val="32"/>
          <w:lang w:val="zh-CN" w:eastAsia="zh-CN"/>
        </w:rPr>
      </w:pPr>
      <w:r>
        <w:rPr>
          <w:rFonts w:hint="default" w:ascii="楷体_GB2312" w:hAnsi="宋体" w:eastAsia="楷体_GB2312" w:cs="Times New Roman"/>
          <w:b/>
          <w:color w:val="auto"/>
          <w:sz w:val="32"/>
          <w:szCs w:val="32"/>
          <w:highlight w:val="none"/>
          <w:u w:val="none"/>
          <w:lang w:val="zh-CN" w:eastAsia="zh-CN"/>
        </w:rPr>
        <w:t>（二）</w:t>
      </w:r>
      <w:r>
        <w:rPr>
          <w:rFonts w:hint="default" w:ascii="楷体_GB2312" w:hAnsi="宋体" w:eastAsia="楷体_GB2312" w:cs="Times New Roman"/>
          <w:b/>
          <w:color w:val="auto"/>
          <w:sz w:val="32"/>
          <w:szCs w:val="32"/>
          <w:highlight w:val="none"/>
          <w:u w:val="none"/>
          <w:lang w:val="en-US" w:eastAsia="zh-CN"/>
        </w:rPr>
        <w:t>专用指标</w:t>
      </w:r>
      <w:r>
        <w:rPr>
          <w:rFonts w:hint="default" w:ascii="楷体_GB2312" w:hAnsi="宋体" w:eastAsia="楷体_GB2312" w:cs="Times New Roman"/>
          <w:b/>
          <w:color w:val="auto"/>
          <w:sz w:val="32"/>
          <w:szCs w:val="32"/>
          <w:highlight w:val="none"/>
          <w:u w:val="none"/>
          <w:lang w:val="zh-CN" w:eastAsia="zh-CN"/>
        </w:rPr>
        <w:t>绩效分析。</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1.产业发展。</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该项目实施符合市委市政府政策支持，但与相关企业成长性、经济性是否有促进作用无关，不对该项指标评分。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民生保障。</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该项目非民生保障项目，不对该项指标评分。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3.基础设施。</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该项目非基础设施项目，不对该</w:t>
      </w:r>
      <w:r>
        <w:rPr>
          <w:rFonts w:hint="eastAsia" w:ascii="仿宋_GB2312" w:hAnsi="仿宋_GB2312" w:eastAsia="仿宋_GB2312" w:cs="仿宋_GB2312"/>
          <w:sz w:val="32"/>
          <w:szCs w:val="32"/>
          <w:lang w:val="en-US" w:eastAsia="zh-CN"/>
        </w:rPr>
        <w:t>项</w:t>
      </w:r>
      <w:r>
        <w:rPr>
          <w:rFonts w:hint="eastAsia" w:ascii="仿宋_GB2312" w:hAnsi="仿宋_GB2312" w:eastAsia="仿宋_GB2312" w:cs="仿宋_GB2312"/>
          <w:sz w:val="32"/>
          <w:szCs w:val="32"/>
          <w:lang w:val="zh-CN" w:eastAsia="zh-CN"/>
        </w:rPr>
        <w:t>指标评分</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行政运转。</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该项目按规定用途、适用范围分配，符合专项资金管理要求，管理程序合规、资金分配标准合规，该指标绩效自评得分</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lang w:val="zh-CN" w:eastAsia="zh-CN"/>
        </w:rPr>
        <w:t>分。</w:t>
      </w:r>
    </w:p>
    <w:p>
      <w:pPr>
        <w:pStyle w:val="2"/>
        <w:keepNext w:val="0"/>
        <w:keepLines w:val="0"/>
        <w:pageBreakBefore w:val="0"/>
        <w:numPr>
          <w:ilvl w:val="0"/>
          <w:numId w:val="0"/>
        </w:numPr>
        <w:tabs>
          <w:tab w:val="left" w:pos="2160"/>
        </w:tabs>
        <w:kinsoku/>
        <w:wordWrap/>
        <w:overflowPunct/>
        <w:topLinePunct w:val="0"/>
        <w:autoSpaceDE/>
        <w:autoSpaceDN/>
        <w:bidi w:val="0"/>
        <w:adjustRightInd/>
        <w:spacing w:line="576" w:lineRule="exact"/>
        <w:ind w:firstLine="640" w:firstLineChars="200"/>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四</w:t>
      </w:r>
      <w:r>
        <w:rPr>
          <w:rFonts w:hint="eastAsia" w:ascii="黑体" w:hAnsi="黑体" w:eastAsia="黑体" w:cs="黑体"/>
          <w:b w:val="0"/>
          <w:bCs w:val="0"/>
          <w:color w:val="auto"/>
          <w:sz w:val="32"/>
          <w:szCs w:val="32"/>
          <w:highlight w:val="none"/>
          <w:u w:val="none"/>
        </w:rPr>
        <w:t>、评价结论</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本次</w:t>
      </w:r>
      <w:r>
        <w:rPr>
          <w:rFonts w:hint="default" w:ascii="仿宋_GB2312" w:hAnsi="仿宋_GB2312" w:eastAsia="仿宋_GB2312" w:cs="仿宋_GB2312"/>
          <w:sz w:val="32"/>
          <w:szCs w:val="32"/>
          <w:lang w:val="zh-CN" w:eastAsia="zh-CN"/>
        </w:rPr>
        <w:t>救助管理站改造提升建设项目</w:t>
      </w:r>
      <w:r>
        <w:rPr>
          <w:rFonts w:hint="eastAsia" w:ascii="仿宋_GB2312" w:hAnsi="仿宋_GB2312" w:eastAsia="仿宋_GB2312" w:cs="仿宋_GB2312"/>
          <w:sz w:val="32"/>
          <w:szCs w:val="32"/>
          <w:lang w:val="en-US" w:eastAsia="zh-CN"/>
        </w:rPr>
        <w:t>展现了稳定性的特点。政府财政拨款作为主体，有效的保障了救助需求。在资金使用上，严格遵循“专款专用、突出重点、注重实效”的原则，确保每一笔资金都能精准投放到最需要的领域和人群，有效提高了资金使用的针对性和效率。</w:t>
      </w:r>
    </w:p>
    <w:p>
      <w:pPr>
        <w:pStyle w:val="2"/>
        <w:keepNext w:val="0"/>
        <w:keepLines w:val="0"/>
        <w:pageBreakBefore w:val="0"/>
        <w:numPr>
          <w:ilvl w:val="0"/>
          <w:numId w:val="0"/>
        </w:numPr>
        <w:tabs>
          <w:tab w:val="left" w:pos="2160"/>
        </w:tabs>
        <w:kinsoku/>
        <w:wordWrap/>
        <w:overflowPunct/>
        <w:topLinePunct w:val="0"/>
        <w:autoSpaceDE/>
        <w:autoSpaceDN/>
        <w:bidi w:val="0"/>
        <w:adjustRightInd/>
        <w:spacing w:line="576" w:lineRule="exact"/>
        <w:ind w:firstLine="640" w:firstLineChars="200"/>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预算执行率较低：项目预算执行率为44.10%。</w:t>
      </w:r>
    </w:p>
    <w:p>
      <w:pPr>
        <w:pStyle w:val="2"/>
        <w:keepNext w:val="0"/>
        <w:keepLines w:val="0"/>
        <w:pageBreakBefore w:val="0"/>
        <w:numPr>
          <w:ilvl w:val="0"/>
          <w:numId w:val="0"/>
        </w:numPr>
        <w:tabs>
          <w:tab w:val="left" w:pos="2160"/>
        </w:tabs>
        <w:kinsoku/>
        <w:wordWrap/>
        <w:overflowPunct/>
        <w:topLinePunct w:val="0"/>
        <w:autoSpaceDE/>
        <w:autoSpaceDN/>
        <w:bidi w:val="0"/>
        <w:adjustRightInd/>
        <w:spacing w:line="576" w:lineRule="exact"/>
        <w:ind w:firstLine="640" w:firstLineChars="200"/>
        <w:textAlignment w:val="auto"/>
        <w:rPr>
          <w:rFonts w:hint="eastAsia" w:ascii="黑体" w:hAnsi="黑体" w:eastAsia="黑体" w:cs="黑体"/>
          <w:b w:val="0"/>
          <w:bCs w:val="0"/>
          <w:color w:val="auto"/>
          <w:kern w:val="0"/>
          <w:position w:val="3"/>
          <w:sz w:val="32"/>
          <w:szCs w:val="32"/>
          <w:highlight w:val="none"/>
          <w:u w:val="none"/>
          <w:lang w:val="zh-CN" w:eastAsia="zh-CN" w:bidi="ar-SA"/>
        </w:rPr>
      </w:pPr>
      <w:r>
        <w:rPr>
          <w:rFonts w:hint="eastAsia" w:ascii="黑体" w:hAnsi="黑体" w:eastAsia="黑体" w:cs="黑体"/>
          <w:b w:val="0"/>
          <w:bCs w:val="0"/>
          <w:color w:val="auto"/>
          <w:kern w:val="0"/>
          <w:position w:val="3"/>
          <w:sz w:val="32"/>
          <w:szCs w:val="32"/>
          <w:highlight w:val="none"/>
          <w:u w:val="none"/>
          <w:lang w:val="zh-CN" w:eastAsia="zh-CN" w:bidi="ar-SA"/>
        </w:rPr>
        <w:t>六、改进建议</w:t>
      </w:r>
    </w:p>
    <w:p>
      <w:pPr>
        <w:keepNext w:val="0"/>
        <w:keepLines w:val="0"/>
        <w:pageBreakBefore w:val="0"/>
        <w:tabs>
          <w:tab w:val="left" w:pos="1911"/>
        </w:tabs>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kern w:val="2"/>
          <w:position w:val="0"/>
          <w:sz w:val="32"/>
          <w:szCs w:val="32"/>
          <w:lang w:val="en-US" w:eastAsia="zh-CN" w:bidi="ar-SA"/>
        </w:rPr>
      </w:pPr>
      <w:r>
        <w:rPr>
          <w:rFonts w:hint="eastAsia" w:ascii="仿宋_GB2312" w:hAnsi="仿宋_GB2312" w:eastAsia="仿宋_GB2312" w:cs="仿宋_GB2312"/>
          <w:sz w:val="32"/>
          <w:szCs w:val="32"/>
          <w:lang w:val="en-US" w:eastAsia="zh-CN"/>
        </w:rPr>
        <w:t>优化资金使用计划，确保预算执行率达到预期目标，提高资金使用效率。</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hAnsi="Times New Roman" w:cs="Times New Roman"/>
          <w:sz w:val="32"/>
          <w:szCs w:val="32"/>
          <w:highlight w:val="none"/>
          <w:lang w:val="en-US" w:eastAsia="zh-CN"/>
        </w:rPr>
        <w:sectPr>
          <w:pgSz w:w="11906" w:h="16838"/>
          <w:pgMar w:top="1440" w:right="1800" w:bottom="1440" w:left="1800" w:header="851" w:footer="992" w:gutter="0"/>
          <w:pgNumType w:fmt="decimal"/>
          <w:cols w:space="425" w:num="1"/>
          <w:titlePg/>
          <w:docGrid w:type="lines" w:linePitch="312" w:charSpace="0"/>
        </w:sectPr>
      </w:pPr>
    </w:p>
    <w:p>
      <w:pPr>
        <w:pStyle w:val="47"/>
        <w:keepNext w:val="0"/>
        <w:keepLines w:val="0"/>
        <w:pageBreakBefore w:val="0"/>
        <w:widowControl w:val="0"/>
        <w:kinsoku/>
        <w:wordWrap/>
        <w:overflowPunct/>
        <w:topLinePunct w:val="0"/>
        <w:autoSpaceDE/>
        <w:autoSpaceDN/>
        <w:bidi w:val="0"/>
        <w:spacing w:line="576" w:lineRule="exact"/>
        <w:ind w:left="0" w:leftChars="0" w:firstLine="880" w:firstLineChars="200"/>
        <w:jc w:val="center"/>
        <w:textAlignment w:val="auto"/>
        <w:rPr>
          <w:rFonts w:hint="default" w:ascii="Times New Roman" w:hAnsi="Times New Roman" w:eastAsia="方正小标宋简体" w:cs="Times New Roman"/>
          <w:color w:val="auto"/>
          <w:kern w:val="2"/>
          <w:sz w:val="44"/>
          <w:szCs w:val="44"/>
          <w:highlight w:val="none"/>
          <w:lang w:val="en-US" w:eastAsia="zh-CN"/>
        </w:rPr>
      </w:pPr>
      <w:r>
        <w:rPr>
          <w:rFonts w:hint="eastAsia" w:ascii="Times New Roman" w:hAnsi="Times New Roman" w:eastAsia="方正小标宋简体" w:cs="Times New Roman"/>
          <w:color w:val="auto"/>
          <w:kern w:val="2"/>
          <w:sz w:val="44"/>
          <w:szCs w:val="44"/>
          <w:highlight w:val="none"/>
          <w:lang w:val="en-US" w:eastAsia="zh-CN"/>
        </w:rPr>
        <w:t>精神康复中心（一期）</w:t>
      </w:r>
      <w:r>
        <w:rPr>
          <w:rFonts w:hint="default" w:ascii="Times New Roman" w:hAnsi="Times New Roman" w:eastAsia="方正小标宋简体" w:cs="Times New Roman"/>
          <w:color w:val="auto"/>
          <w:kern w:val="2"/>
          <w:sz w:val="44"/>
          <w:szCs w:val="44"/>
          <w:highlight w:val="none"/>
          <w:lang w:val="en-US" w:eastAsia="zh-CN"/>
        </w:rPr>
        <w:t>专项预算绩效自评报告</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（一）设立背景及基本情况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1.项目设立原因及背景</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en-US" w:eastAsia="zh-CN"/>
        </w:rPr>
        <w:t>精神康复中心（一期）建设项目</w:t>
      </w:r>
      <w:r>
        <w:rPr>
          <w:rFonts w:hint="eastAsia" w:ascii="仿宋_GB2312" w:hAnsi="仿宋_GB2312" w:eastAsia="仿宋_GB2312" w:cs="仿宋_GB2312"/>
          <w:sz w:val="32"/>
          <w:szCs w:val="32"/>
          <w:lang w:val="en-US" w:eastAsia="zh-CN"/>
        </w:rPr>
        <w:t>的设立原因和背景主要是</w:t>
      </w:r>
      <w:r>
        <w:rPr>
          <w:rFonts w:hint="default" w:ascii="仿宋_GB2312" w:hAnsi="仿宋_GB2312" w:eastAsia="仿宋_GB2312" w:cs="仿宋_GB2312"/>
          <w:sz w:val="32"/>
          <w:szCs w:val="32"/>
          <w:lang w:val="zh-CN" w:eastAsia="zh-CN"/>
        </w:rPr>
        <w:t>带动区域协同发展，提升区域经济发展水平和群众生活质量</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2.项目立项、资金申报的依据</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项目立项、资金申报的依据主要是本单位职能职责及年度工作计划。</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3.项目主要内容</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精神康复中心（一期）建设项目</w:t>
      </w:r>
      <w:r>
        <w:rPr>
          <w:rFonts w:hint="eastAsia" w:ascii="仿宋_GB2312" w:hAnsi="仿宋_GB2312" w:eastAsia="仿宋_GB2312" w:cs="仿宋_GB2312"/>
          <w:sz w:val="32"/>
          <w:szCs w:val="32"/>
          <w:lang w:val="zh-CN" w:eastAsia="zh-CN"/>
        </w:rPr>
        <w:t>主要是</w:t>
      </w:r>
      <w:r>
        <w:rPr>
          <w:rFonts w:hint="default" w:ascii="仿宋_GB2312" w:hAnsi="仿宋_GB2312" w:eastAsia="仿宋_GB2312" w:cs="仿宋_GB2312"/>
          <w:sz w:val="32"/>
          <w:szCs w:val="32"/>
          <w:lang w:val="zh-CN" w:eastAsia="zh-CN"/>
        </w:rPr>
        <w:t>提升区域经济发展水平和群众生活质量</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主管部门职能</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en-US" w:eastAsia="zh-CN"/>
        </w:rPr>
        <w:t>精神康复中心（一期）建设项目</w:t>
      </w:r>
      <w:r>
        <w:rPr>
          <w:rFonts w:hint="eastAsia" w:ascii="仿宋_GB2312" w:hAnsi="仿宋_GB2312" w:eastAsia="仿宋_GB2312" w:cs="仿宋_GB2312"/>
          <w:sz w:val="32"/>
          <w:szCs w:val="32"/>
          <w:lang w:val="zh-CN" w:eastAsia="zh-CN"/>
        </w:rPr>
        <w:t>的主管部门职能广泛，包括但不限于资金管理、政策实施，以及跨部门协作，以确保</w:t>
      </w:r>
      <w:r>
        <w:rPr>
          <w:rFonts w:hint="default" w:ascii="仿宋_GB2312" w:hAnsi="仿宋_GB2312" w:eastAsia="仿宋_GB2312" w:cs="仿宋_GB2312"/>
          <w:sz w:val="32"/>
          <w:szCs w:val="32"/>
          <w:lang w:val="en-US" w:eastAsia="zh-CN"/>
        </w:rPr>
        <w:t>精神康复中心（一期）建设项目</w:t>
      </w:r>
      <w:r>
        <w:rPr>
          <w:rFonts w:hint="eastAsia" w:ascii="仿宋_GB2312" w:hAnsi="仿宋_GB2312" w:eastAsia="仿宋_GB2312" w:cs="仿宋_GB2312"/>
          <w:sz w:val="32"/>
          <w:szCs w:val="32"/>
          <w:lang w:val="zh-CN" w:eastAsia="zh-CN"/>
        </w:rPr>
        <w:t>工作的有效实施和资源的合理分配。</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（二）</w:t>
      </w:r>
      <w:r>
        <w:rPr>
          <w:rFonts w:hint="default" w:ascii="楷体_GB2312" w:hAnsi="宋体" w:eastAsia="楷体_GB2312" w:cs="Times New Roman"/>
          <w:b/>
          <w:color w:val="auto"/>
          <w:sz w:val="32"/>
          <w:szCs w:val="32"/>
          <w:highlight w:val="none"/>
          <w:u w:val="none"/>
          <w:lang w:val="en-US" w:eastAsia="zh-CN"/>
        </w:rPr>
        <w:t>实施目的及支持方向</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zh-CN" w:eastAsia="zh-CN"/>
        </w:rPr>
        <w:t>项目资金管理办法制定情况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该项目资金严格按照财务管理相关规定进行管理，确保专款专用，项目资金的管理遵循了既定的规则和程序，特别是明确了资金作为</w:t>
      </w:r>
      <w:r>
        <w:rPr>
          <w:rFonts w:hint="default" w:ascii="仿宋_GB2312" w:hAnsi="仿宋_GB2312" w:eastAsia="仿宋_GB2312" w:cs="仿宋_GB2312"/>
          <w:sz w:val="32"/>
          <w:szCs w:val="32"/>
          <w:lang w:val="en-US" w:eastAsia="zh-CN"/>
        </w:rPr>
        <w:t>精神康复中心（一期）建设项目</w:t>
      </w:r>
      <w:r>
        <w:rPr>
          <w:rFonts w:hint="default" w:ascii="仿宋_GB2312" w:hAnsi="仿宋_GB2312" w:eastAsia="仿宋_GB2312" w:cs="仿宋_GB2312"/>
          <w:sz w:val="32"/>
          <w:szCs w:val="32"/>
          <w:lang w:val="zh-CN" w:eastAsia="zh-CN"/>
        </w:rPr>
        <w:t>的使用范围，体现了资金管理的规范性和针对性。</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2.项目实施目的</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确保</w:t>
      </w:r>
      <w:r>
        <w:rPr>
          <w:rFonts w:hint="default" w:ascii="仿宋_GB2312" w:hAnsi="仿宋_GB2312" w:eastAsia="仿宋_GB2312" w:cs="仿宋_GB2312"/>
          <w:sz w:val="32"/>
          <w:szCs w:val="32"/>
          <w:lang w:val="en-US" w:eastAsia="zh-CN"/>
        </w:rPr>
        <w:t>精神康复中心（一期）建设项目</w:t>
      </w:r>
      <w:r>
        <w:rPr>
          <w:rFonts w:hint="eastAsia" w:ascii="仿宋_GB2312" w:hAnsi="仿宋_GB2312" w:eastAsia="仿宋_GB2312" w:cs="仿宋_GB2312"/>
          <w:sz w:val="32"/>
          <w:szCs w:val="32"/>
          <w:lang w:val="en-US" w:eastAsia="zh-CN"/>
        </w:rPr>
        <w:t>的顺利开展，</w:t>
      </w:r>
      <w:r>
        <w:rPr>
          <w:rFonts w:hint="default" w:ascii="仿宋_GB2312" w:hAnsi="仿宋_GB2312" w:eastAsia="仿宋_GB2312" w:cs="仿宋_GB2312"/>
          <w:sz w:val="32"/>
          <w:szCs w:val="32"/>
          <w:lang w:val="zh-CN" w:eastAsia="zh-CN"/>
        </w:rPr>
        <w:t>提升区域经济发展水平和群众生活质量</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项目预算安排情况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精神康复中心（一期）建设项目</w:t>
      </w:r>
      <w:r>
        <w:rPr>
          <w:rFonts w:hint="eastAsia" w:ascii="仿宋_GB2312" w:hAnsi="仿宋_GB2312" w:eastAsia="仿宋_GB2312" w:cs="仿宋_GB2312"/>
          <w:sz w:val="32"/>
          <w:szCs w:val="32"/>
          <w:lang w:val="en-US" w:eastAsia="zh-CN"/>
        </w:rPr>
        <w:t>作</w:t>
      </w:r>
      <w:r>
        <w:rPr>
          <w:rFonts w:hint="default" w:ascii="仿宋_GB2312" w:hAnsi="仿宋_GB2312" w:eastAsia="仿宋_GB2312" w:cs="仿宋_GB2312"/>
          <w:sz w:val="32"/>
          <w:szCs w:val="32"/>
          <w:lang w:val="zh-CN" w:eastAsia="zh-CN"/>
        </w:rPr>
        <w:t>为</w:t>
      </w:r>
      <w:r>
        <w:rPr>
          <w:rFonts w:hint="eastAsia" w:ascii="仿宋_GB2312" w:hAnsi="仿宋_GB2312" w:eastAsia="仿宋_GB2312" w:cs="仿宋_GB2312"/>
          <w:sz w:val="32"/>
          <w:szCs w:val="32"/>
          <w:lang w:val="en-US" w:eastAsia="zh-CN"/>
        </w:rPr>
        <w:t>阶段性</w:t>
      </w:r>
      <w:r>
        <w:rPr>
          <w:rFonts w:hint="default" w:ascii="仿宋_GB2312" w:hAnsi="仿宋_GB2312" w:eastAsia="仿宋_GB2312" w:cs="仿宋_GB2312"/>
          <w:sz w:val="32"/>
          <w:szCs w:val="32"/>
          <w:lang w:val="zh-CN" w:eastAsia="zh-CN"/>
        </w:rPr>
        <w:t>项目，项目起止年限</w:t>
      </w:r>
      <w:r>
        <w:rPr>
          <w:rFonts w:hint="eastAsia" w:ascii="仿宋_GB2312" w:hAnsi="仿宋_GB2312" w:eastAsia="仿宋_GB2312" w:cs="仿宋_GB2312"/>
          <w:sz w:val="32"/>
          <w:szCs w:val="32"/>
          <w:lang w:val="en-US" w:eastAsia="zh-CN"/>
        </w:rPr>
        <w:t>为1年。</w:t>
      </w:r>
      <w:r>
        <w:rPr>
          <w:rFonts w:hint="default" w:ascii="仿宋_GB2312" w:hAnsi="仿宋_GB2312" w:eastAsia="仿宋_GB2312" w:cs="仿宋_GB2312"/>
          <w:sz w:val="32"/>
          <w:szCs w:val="32"/>
          <w:lang w:val="zh-CN" w:eastAsia="zh-CN"/>
        </w:rPr>
        <w:t>即该项目资金专门用</w:t>
      </w:r>
      <w:r>
        <w:rPr>
          <w:rFonts w:hint="default" w:ascii="仿宋_GB2312" w:hAnsi="仿宋_GB2312" w:eastAsia="仿宋_GB2312" w:cs="仿宋_GB2312"/>
          <w:sz w:val="32"/>
          <w:szCs w:val="32"/>
          <w:lang w:val="en-US" w:eastAsia="zh-CN"/>
        </w:rPr>
        <w:t>精神康复中心（一期）建设</w:t>
      </w:r>
      <w:r>
        <w:rPr>
          <w:rFonts w:hint="eastAsia" w:ascii="仿宋_GB2312" w:hAnsi="仿宋_GB2312" w:eastAsia="仿宋_GB2312" w:cs="仿宋_GB2312"/>
          <w:sz w:val="32"/>
          <w:szCs w:val="32"/>
          <w:lang w:val="en-US" w:eastAsia="zh-CN"/>
        </w:rPr>
        <w:t>经费</w:t>
      </w:r>
      <w:r>
        <w:rPr>
          <w:rFonts w:hint="default" w:ascii="仿宋_GB2312" w:hAnsi="仿宋_GB2312" w:eastAsia="仿宋_GB2312" w:cs="仿宋_GB2312"/>
          <w:sz w:val="32"/>
          <w:szCs w:val="32"/>
          <w:lang w:val="zh-CN" w:eastAsia="zh-CN"/>
        </w:rPr>
        <w:t>。年度资金总额为</w:t>
      </w:r>
      <w:r>
        <w:rPr>
          <w:rFonts w:hint="eastAsia" w:ascii="仿宋_GB2312" w:hAnsi="仿宋_GB2312" w:eastAsia="仿宋_GB2312" w:cs="仿宋_GB2312"/>
          <w:sz w:val="32"/>
          <w:szCs w:val="32"/>
          <w:lang w:val="en-US" w:eastAsia="zh-CN"/>
        </w:rPr>
        <w:t>2,000</w:t>
      </w:r>
      <w:r>
        <w:rPr>
          <w:rFonts w:hint="default" w:ascii="仿宋_GB2312" w:hAnsi="仿宋_GB2312" w:eastAsia="仿宋_GB2312" w:cs="仿宋_GB2312"/>
          <w:sz w:val="32"/>
          <w:szCs w:val="32"/>
          <w:lang w:val="zh-CN" w:eastAsia="zh-CN"/>
        </w:rPr>
        <w:t>万元，全部来源于财政拨款</w:t>
      </w:r>
      <w:r>
        <w:rPr>
          <w:rFonts w:hint="eastAsia"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zh-CN" w:eastAsia="zh-CN"/>
        </w:rPr>
        <w:t>该预算安排全部作为</w:t>
      </w:r>
      <w:r>
        <w:rPr>
          <w:rFonts w:hint="default" w:ascii="仿宋_GB2312" w:hAnsi="仿宋_GB2312" w:eastAsia="仿宋_GB2312" w:cs="仿宋_GB2312"/>
          <w:sz w:val="32"/>
          <w:szCs w:val="32"/>
          <w:lang w:val="en-US" w:eastAsia="zh-CN"/>
        </w:rPr>
        <w:t>精神康复中心（一期）建设</w:t>
      </w:r>
      <w:r>
        <w:rPr>
          <w:rFonts w:hint="default" w:ascii="仿宋_GB2312" w:hAnsi="仿宋_GB2312" w:eastAsia="仿宋_GB2312" w:cs="仿宋_GB2312"/>
          <w:sz w:val="32"/>
          <w:szCs w:val="32"/>
          <w:lang w:val="zh-CN" w:eastAsia="zh-CN"/>
        </w:rPr>
        <w:t>资金</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zh-CN" w:eastAsia="zh-CN"/>
        </w:rPr>
        <w:t>项目资金分配原则及考虑因素</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分配原则‌：遵循公平、公正、公开的原则，确保资金分配透明、合理</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zh-CN" w:eastAsia="zh-CN"/>
        </w:rPr>
        <w:t>项目资金分配情况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分配对象‌：</w:t>
      </w:r>
      <w:r>
        <w:rPr>
          <w:rFonts w:hint="default" w:ascii="仿宋_GB2312" w:hAnsi="仿宋_GB2312" w:eastAsia="仿宋_GB2312" w:cs="仿宋_GB2312"/>
          <w:sz w:val="32"/>
          <w:szCs w:val="32"/>
          <w:lang w:val="en-US" w:eastAsia="zh-CN"/>
        </w:rPr>
        <w:t>精神康复中心</w:t>
      </w:r>
      <w:r>
        <w:rPr>
          <w:rFonts w:hint="default"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zh-CN" w:eastAsia="zh-CN"/>
        </w:rPr>
        <w:t>分配方式‌：</w:t>
      </w:r>
      <w:r>
        <w:rPr>
          <w:rFonts w:hint="default" w:ascii="仿宋_GB2312" w:hAnsi="仿宋_GB2312" w:eastAsia="仿宋_GB2312" w:cs="仿宋_GB2312"/>
          <w:sz w:val="32"/>
          <w:szCs w:val="32"/>
          <w:lang w:val="en-US" w:eastAsia="zh-CN"/>
        </w:rPr>
        <w:t>精神康复中心（一期）建设</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分配结果‌：实际完成指标显示，</w:t>
      </w:r>
      <w:r>
        <w:rPr>
          <w:rFonts w:hint="default" w:ascii="仿宋_GB2312" w:hAnsi="仿宋_GB2312" w:eastAsia="仿宋_GB2312" w:cs="仿宋_GB2312"/>
          <w:sz w:val="32"/>
          <w:szCs w:val="32"/>
          <w:lang w:val="en-US" w:eastAsia="zh-CN"/>
        </w:rPr>
        <w:t>项目竣工验收达标率</w:t>
      </w:r>
      <w:r>
        <w:rPr>
          <w:rFonts w:hint="eastAsia" w:ascii="仿宋_GB2312" w:hAnsi="仿宋_GB2312" w:eastAsia="仿宋_GB2312" w:cs="仿宋_GB2312"/>
          <w:sz w:val="32"/>
          <w:szCs w:val="32"/>
          <w:lang w:val="en-US" w:eastAsia="zh-CN"/>
        </w:rPr>
        <w:t>95%</w:t>
      </w:r>
      <w:r>
        <w:rPr>
          <w:rFonts w:hint="default"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en-US" w:eastAsia="zh-CN"/>
        </w:rPr>
        <w:t>区域辐射人群满意度</w:t>
      </w:r>
      <w:r>
        <w:rPr>
          <w:rFonts w:hint="eastAsia" w:ascii="仿宋_GB2312" w:hAnsi="仿宋_GB2312" w:eastAsia="仿宋_GB2312" w:cs="仿宋_GB2312"/>
          <w:sz w:val="32"/>
          <w:szCs w:val="32"/>
          <w:lang w:val="en-US" w:eastAsia="zh-CN"/>
        </w:rPr>
        <w:t>90%，表明</w:t>
      </w:r>
      <w:r>
        <w:rPr>
          <w:rFonts w:hint="default" w:ascii="仿宋_GB2312" w:hAnsi="仿宋_GB2312" w:eastAsia="仿宋_GB2312" w:cs="仿宋_GB2312"/>
          <w:sz w:val="32"/>
          <w:szCs w:val="32"/>
          <w:lang w:val="zh-CN" w:eastAsia="zh-CN"/>
        </w:rPr>
        <w:t>资金分配得到了及时有效的执行。</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综上所述，该项目预算安排合理，资金分配原则明确，考虑因素全面，分配情况符合实际需求，确保了</w:t>
      </w:r>
      <w:r>
        <w:rPr>
          <w:rFonts w:hint="default" w:ascii="仿宋_GB2312" w:hAnsi="仿宋_GB2312" w:eastAsia="仿宋_GB2312" w:cs="仿宋_GB2312"/>
          <w:sz w:val="32"/>
          <w:szCs w:val="32"/>
          <w:lang w:val="en-US" w:eastAsia="zh-CN"/>
        </w:rPr>
        <w:t>精神康复中心（一期）建设</w:t>
      </w:r>
      <w:r>
        <w:rPr>
          <w:rFonts w:hint="default" w:ascii="仿宋_GB2312" w:hAnsi="仿宋_GB2312" w:eastAsia="仿宋_GB2312" w:cs="仿宋_GB2312"/>
          <w:sz w:val="32"/>
          <w:szCs w:val="32"/>
          <w:lang w:val="zh-CN" w:eastAsia="zh-CN"/>
        </w:rPr>
        <w:t>顺利进行。</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（四）项目绩效目标设置</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zh-CN" w:eastAsia="zh-CN"/>
        </w:rPr>
        <w:t>项目整体</w:t>
      </w:r>
      <w:r>
        <w:rPr>
          <w:rFonts w:hint="eastAsia" w:ascii="仿宋_GB2312" w:hAnsi="仿宋_GB2312" w:eastAsia="仿宋_GB2312" w:cs="仿宋_GB2312"/>
          <w:sz w:val="32"/>
          <w:szCs w:val="32"/>
          <w:lang w:val="en-US" w:eastAsia="zh-CN"/>
        </w:rPr>
        <w:t>绩效指标</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该项目为</w:t>
      </w:r>
      <w:r>
        <w:rPr>
          <w:rFonts w:hint="eastAsia" w:ascii="仿宋_GB2312" w:hAnsi="仿宋_GB2312" w:eastAsia="仿宋_GB2312" w:cs="仿宋_GB2312"/>
          <w:sz w:val="32"/>
          <w:szCs w:val="32"/>
          <w:lang w:val="en-US" w:eastAsia="zh-CN"/>
        </w:rPr>
        <w:t>广元市民政局</w:t>
      </w:r>
      <w:r>
        <w:rPr>
          <w:rFonts w:hint="default" w:ascii="仿宋_GB2312" w:hAnsi="仿宋_GB2312" w:eastAsia="仿宋_GB2312" w:cs="仿宋_GB2312"/>
          <w:sz w:val="32"/>
          <w:szCs w:val="32"/>
          <w:lang w:val="zh-CN" w:eastAsia="zh-CN"/>
        </w:rPr>
        <w:t>负责的</w:t>
      </w:r>
      <w:r>
        <w:rPr>
          <w:rFonts w:hint="default" w:ascii="仿宋_GB2312" w:hAnsi="仿宋_GB2312" w:eastAsia="仿宋_GB2312" w:cs="仿宋_GB2312"/>
          <w:sz w:val="32"/>
          <w:szCs w:val="32"/>
          <w:lang w:val="en-US" w:eastAsia="zh-CN"/>
        </w:rPr>
        <w:t>精神康复中心（一期）建设</w:t>
      </w:r>
      <w:r>
        <w:rPr>
          <w:rFonts w:hint="default" w:ascii="仿宋_GB2312" w:hAnsi="仿宋_GB2312" w:eastAsia="仿宋_GB2312" w:cs="仿宋_GB2312"/>
          <w:sz w:val="32"/>
          <w:szCs w:val="32"/>
          <w:lang w:val="zh-CN" w:eastAsia="zh-CN"/>
        </w:rPr>
        <w:t>项目，属于部门项目，为</w:t>
      </w:r>
      <w:r>
        <w:rPr>
          <w:rFonts w:hint="eastAsia" w:ascii="仿宋_GB2312" w:hAnsi="仿宋_GB2312" w:eastAsia="仿宋_GB2312" w:cs="仿宋_GB2312"/>
          <w:sz w:val="32"/>
          <w:szCs w:val="32"/>
          <w:lang w:val="en-US" w:eastAsia="zh-CN"/>
        </w:rPr>
        <w:t>阶段性</w:t>
      </w:r>
      <w:r>
        <w:rPr>
          <w:rFonts w:hint="default" w:ascii="仿宋_GB2312" w:hAnsi="仿宋_GB2312" w:eastAsia="仿宋_GB2312" w:cs="仿宋_GB2312"/>
          <w:sz w:val="32"/>
          <w:szCs w:val="32"/>
          <w:lang w:val="zh-CN" w:eastAsia="zh-CN"/>
        </w:rPr>
        <w:t>项目，项目周期为</w:t>
      </w:r>
      <w:r>
        <w:rPr>
          <w:rFonts w:hint="eastAsia" w:ascii="仿宋_GB2312" w:hAnsi="仿宋_GB2312" w:eastAsia="仿宋_GB2312" w:cs="仿宋_GB2312"/>
          <w:sz w:val="32"/>
          <w:szCs w:val="32"/>
          <w:lang w:val="en-US" w:eastAsia="zh-CN"/>
        </w:rPr>
        <w:t>1年</w:t>
      </w:r>
      <w:r>
        <w:rPr>
          <w:rFonts w:hint="default" w:ascii="仿宋_GB2312" w:hAnsi="仿宋_GB2312" w:eastAsia="仿宋_GB2312" w:cs="仿宋_GB2312"/>
          <w:sz w:val="32"/>
          <w:szCs w:val="32"/>
          <w:lang w:val="zh-CN" w:eastAsia="zh-CN"/>
        </w:rPr>
        <w:t>。项目资金总额为</w:t>
      </w:r>
      <w:r>
        <w:rPr>
          <w:rFonts w:hint="eastAsia" w:ascii="仿宋_GB2312" w:hAnsi="仿宋_GB2312" w:eastAsia="仿宋_GB2312" w:cs="仿宋_GB2312"/>
          <w:sz w:val="32"/>
          <w:szCs w:val="32"/>
          <w:lang w:val="en-US" w:eastAsia="zh-CN"/>
        </w:rPr>
        <w:t>2,000</w:t>
      </w:r>
      <w:r>
        <w:rPr>
          <w:rFonts w:hint="default" w:ascii="仿宋_GB2312" w:hAnsi="仿宋_GB2312" w:eastAsia="仿宋_GB2312" w:cs="仿宋_GB2312"/>
          <w:sz w:val="32"/>
          <w:szCs w:val="32"/>
          <w:lang w:val="zh-CN" w:eastAsia="zh-CN"/>
        </w:rPr>
        <w:t>万元，全部为财政拨</w:t>
      </w:r>
      <w:r>
        <w:rPr>
          <w:rFonts w:hint="eastAsia" w:ascii="仿宋_GB2312" w:hAnsi="仿宋_GB2312" w:eastAsia="仿宋_GB2312" w:cs="仿宋_GB2312"/>
          <w:sz w:val="32"/>
          <w:szCs w:val="32"/>
          <w:lang w:val="en-US" w:eastAsia="zh-CN"/>
        </w:rPr>
        <w:t>款</w:t>
      </w:r>
      <w:r>
        <w:rPr>
          <w:rFonts w:hint="default"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zh-CN" w:eastAsia="zh-CN"/>
        </w:rPr>
        <w:t>具体绩效目标设置情况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数量指标‌：</w:t>
      </w:r>
      <w:r>
        <w:rPr>
          <w:rFonts w:hint="default" w:ascii="仿宋_GB2312" w:hAnsi="仿宋_GB2312" w:eastAsia="仿宋_GB2312" w:cs="仿宋_GB2312"/>
          <w:sz w:val="32"/>
          <w:szCs w:val="32"/>
          <w:lang w:val="en-US" w:eastAsia="zh-CN"/>
        </w:rPr>
        <w:t>总建筑面</w:t>
      </w:r>
      <w:r>
        <w:rPr>
          <w:rFonts w:hint="eastAsia" w:ascii="仿宋_GB2312" w:hAnsi="仿宋_GB2312" w:eastAsia="仿宋_GB2312" w:cs="仿宋_GB2312"/>
          <w:sz w:val="32"/>
          <w:szCs w:val="32"/>
          <w:lang w:val="en-US" w:eastAsia="zh-CN"/>
        </w:rPr>
        <w:t>=15,020平方米</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质量指标‌：</w:t>
      </w:r>
      <w:r>
        <w:rPr>
          <w:rFonts w:hint="default" w:ascii="仿宋_GB2312" w:hAnsi="仿宋_GB2312" w:eastAsia="仿宋_GB2312" w:cs="仿宋_GB2312"/>
          <w:sz w:val="32"/>
          <w:szCs w:val="32"/>
          <w:lang w:val="en-US" w:eastAsia="zh-CN"/>
        </w:rPr>
        <w:t>项目竣工验收达标率≥</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时效指标‌：</w:t>
      </w:r>
      <w:r>
        <w:rPr>
          <w:rFonts w:hint="default" w:ascii="仿宋_GB2312" w:hAnsi="仿宋_GB2312" w:eastAsia="仿宋_GB2312" w:cs="仿宋_GB2312"/>
          <w:sz w:val="32"/>
          <w:szCs w:val="32"/>
          <w:lang w:val="en-US" w:eastAsia="zh-CN"/>
        </w:rPr>
        <w:t>完成竣工验收时间≤</w:t>
      </w:r>
      <w:r>
        <w:rPr>
          <w:rFonts w:hint="eastAsia" w:ascii="仿宋_GB2312" w:hAnsi="仿宋_GB2312" w:eastAsia="仿宋_GB2312" w:cs="仿宋_GB2312"/>
          <w:sz w:val="32"/>
          <w:szCs w:val="32"/>
          <w:lang w:val="en-US" w:eastAsia="zh-CN"/>
        </w:rPr>
        <w:t>1年</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社会效益</w:t>
      </w:r>
      <w:r>
        <w:rPr>
          <w:rFonts w:hint="default" w:ascii="仿宋_GB2312" w:hAnsi="仿宋_GB2312" w:eastAsia="仿宋_GB2312" w:cs="仿宋_GB2312"/>
          <w:sz w:val="32"/>
          <w:szCs w:val="32"/>
          <w:lang w:val="zh-CN" w:eastAsia="zh-CN"/>
        </w:rPr>
        <w:t>指标‌：</w:t>
      </w:r>
      <w:r>
        <w:rPr>
          <w:rFonts w:hint="default" w:ascii="仿宋_GB2312" w:hAnsi="仿宋_GB2312" w:eastAsia="仿宋_GB2312" w:cs="仿宋_GB2312"/>
          <w:sz w:val="32"/>
          <w:szCs w:val="32"/>
          <w:lang w:val="en-US" w:eastAsia="zh-CN"/>
        </w:rPr>
        <w:t>民政精神卫生建设</w:t>
      </w:r>
      <w:r>
        <w:rPr>
          <w:rFonts w:hint="eastAsia" w:ascii="仿宋_GB2312" w:hAnsi="仿宋_GB2312" w:eastAsia="仿宋_GB2312" w:cs="仿宋_GB2312"/>
          <w:sz w:val="32"/>
          <w:szCs w:val="32"/>
          <w:lang w:val="en-US" w:eastAsia="zh-CN"/>
        </w:rPr>
        <w:t>优</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服务对象满意度‌：</w:t>
      </w:r>
      <w:r>
        <w:rPr>
          <w:rFonts w:hint="default" w:ascii="仿宋_GB2312" w:hAnsi="仿宋_GB2312" w:eastAsia="仿宋_GB2312" w:cs="仿宋_GB2312"/>
          <w:sz w:val="32"/>
          <w:szCs w:val="32"/>
          <w:lang w:val="en-US" w:eastAsia="zh-CN"/>
        </w:rPr>
        <w:t>区域辐射人群满意度</w:t>
      </w:r>
      <w:r>
        <w:rPr>
          <w:rFonts w:hint="default" w:ascii="仿宋_GB2312" w:hAnsi="仿宋_GB2312" w:eastAsia="仿宋_GB2312" w:cs="仿宋_GB2312"/>
          <w:sz w:val="32"/>
          <w:szCs w:val="32"/>
          <w:lang w:val="zh-CN" w:eastAsia="zh-CN"/>
        </w:rPr>
        <w:t>≥9</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经济成本‌：</w:t>
      </w:r>
      <w:r>
        <w:rPr>
          <w:rFonts w:hint="default" w:ascii="仿宋_GB2312" w:hAnsi="仿宋_GB2312" w:eastAsia="仿宋_GB2312" w:cs="仿宋_GB2312"/>
          <w:sz w:val="32"/>
          <w:szCs w:val="32"/>
          <w:lang w:val="en-US" w:eastAsia="zh-CN"/>
        </w:rPr>
        <w:t>项目工程安装费用≤</w:t>
      </w:r>
      <w:r>
        <w:rPr>
          <w:rFonts w:hint="eastAsia" w:ascii="仿宋_GB2312" w:hAnsi="仿宋_GB2312" w:eastAsia="仿宋_GB2312" w:cs="仿宋_GB2312"/>
          <w:sz w:val="32"/>
          <w:szCs w:val="32"/>
          <w:lang w:val="en-US" w:eastAsia="zh-CN"/>
        </w:rPr>
        <w:t>2,000</w:t>
      </w:r>
      <w:r>
        <w:rPr>
          <w:rFonts w:hint="default" w:ascii="仿宋_GB2312" w:hAnsi="仿宋_GB2312" w:eastAsia="仿宋_GB2312" w:cs="仿宋_GB2312"/>
          <w:sz w:val="32"/>
          <w:szCs w:val="32"/>
          <w:lang w:val="zh-CN" w:eastAsia="zh-CN"/>
        </w:rPr>
        <w:t>万元</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zh-CN" w:eastAsia="zh-CN"/>
        </w:rPr>
        <w:t>项目自评工作开展情况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根据项目自评表的内容，项目自评工作已经按照预定的绩效指标进行了全面的评估。自评结果显示，各项绩效指标均已完成或超额完成，表明项目绩效目标设置合理，执行情况良好。通过自评工作，进一步验证了项目的有效性和可行性，为后续项目的实施提供了有益的参考和借鉴。</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二、评价实施</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（一）评价目的</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一是全面评估项目实施的效果与效率，确保项目目标得到有效实现；二是识别项目执行过程中的优势与不足，为持续优化项目管理和提升服务质量提供依据；三是验证项目资金使用的合规性和效益性，保障财政资金的安全与高效；四是通过总结经验教训，为未来项目的规划与实施提供参考。</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（二）预设问题及评价重点</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1.预设问题</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前期论证不充分‌</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立项阶段可行性研究流于形式，导致工程量清单漏项、超概算普遍</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‌招投标及合同管理漏洞‌：规避招标或围标串标现象突出。</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2.评价重点</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财政与审计监督‌</w:t>
      </w:r>
      <w:r>
        <w:rPr>
          <w:rFonts w:hint="eastAsia"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zh-CN" w:eastAsia="zh-CN"/>
        </w:rPr>
        <w:t>重点审核项目库申报合规性，包括预算编制、绩效评价及结余资金处理</w:t>
      </w:r>
      <w:r>
        <w:rPr>
          <w:rFonts w:hint="eastAsia"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（三）评价选点</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市精神康复中心（一期）</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（四）评价方法</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自评中，根据项目情况和评价重点，我单位主要采用方法包括：单位自评法。</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（五）评价组织</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评价组由以下人员构成，并根据各自专业背景和经验进行职责分工：</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、评价组人员构成</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）评价组组长：由具备丰富项目管理经验和高级职称的专家担任，负责评价工作的总体指挥和协调。</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）财务专家：负责审核项目资金使用的合规性、合理性和效益性。</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）项目管理专家：负责评估项目实施过程的管理效率、风险控制及进度控制。</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）社会学专家：负责评价项目的社会影响力和受益群体的满意度。</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eastAsia="zh-CN"/>
        </w:rPr>
        <w:t>）统计分析人员：负责问卷数据的收集、整理和分析工作。</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、职责分工</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）评价组组长：负责制定评价方案，组织评价组成员开展评价工作，审核评价报告，并对评价结果负责。</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）财务专家：审查项目财务报表，评估资金使用的效率和效果，提出财务方面的评价意见和建议。</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）项目管理专家：审查项目实施方案，评估项目管理流程，识别项目管理中的问题和风险，并提出改进措施。</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）社会学专家：通过座谈会、访谈等方式，收集项目受益群体的反馈，评估项目的社会效益和影响力。</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eastAsia="zh-CN"/>
        </w:rPr>
        <w:t>）统计分析人员：负责设计问卷、收集数据、进行数据分析，为评价报告提供数据支持。</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通过明确的职责分工，评价组将协同合作，确保</w:t>
      </w:r>
      <w:r>
        <w:rPr>
          <w:rFonts w:hint="default" w:ascii="仿宋_GB2312" w:hAnsi="仿宋_GB2312" w:eastAsia="仿宋_GB2312" w:cs="仿宋_GB2312"/>
          <w:sz w:val="32"/>
          <w:szCs w:val="32"/>
          <w:lang w:val="en-US" w:eastAsia="zh-CN"/>
        </w:rPr>
        <w:t>市精神康复中心（一期）建设项目</w:t>
      </w:r>
      <w:r>
        <w:rPr>
          <w:rFonts w:hint="eastAsia" w:ascii="仿宋_GB2312" w:hAnsi="仿宋_GB2312" w:eastAsia="仿宋_GB2312" w:cs="仿宋_GB2312"/>
          <w:sz w:val="32"/>
          <w:szCs w:val="32"/>
          <w:lang w:val="zh-CN" w:eastAsia="zh-CN"/>
        </w:rPr>
        <w:t>评价工作的科学性、公正性和有效性。</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val="0"/>
          <w:color w:val="auto"/>
          <w:sz w:val="32"/>
          <w:szCs w:val="32"/>
          <w:highlight w:val="none"/>
          <w:u w:val="none"/>
          <w:lang w:val="zh-CN"/>
        </w:rPr>
      </w:pPr>
      <w:r>
        <w:rPr>
          <w:rFonts w:hint="eastAsia" w:ascii="黑体" w:hAnsi="黑体" w:eastAsia="黑体" w:cs="黑体"/>
          <w:b w:val="0"/>
          <w:bCs w:val="0"/>
          <w:color w:val="auto"/>
          <w:sz w:val="32"/>
          <w:szCs w:val="32"/>
          <w:highlight w:val="none"/>
          <w:u w:val="none"/>
        </w:rPr>
        <w:t>三、</w:t>
      </w:r>
      <w:r>
        <w:rPr>
          <w:rFonts w:hint="eastAsia" w:ascii="黑体" w:hAnsi="黑体" w:eastAsia="黑体" w:cs="黑体"/>
          <w:b w:val="0"/>
          <w:bCs w:val="0"/>
          <w:color w:val="auto"/>
          <w:sz w:val="32"/>
          <w:szCs w:val="32"/>
          <w:highlight w:val="none"/>
          <w:u w:val="none"/>
          <w:lang w:eastAsia="zh-CN"/>
        </w:rPr>
        <w:t>绩效分析</w:t>
      </w:r>
      <w:r>
        <w:rPr>
          <w:rFonts w:hint="eastAsia" w:ascii="黑体" w:hAnsi="黑体" w:eastAsia="黑体" w:cs="黑体"/>
          <w:b w:val="0"/>
          <w:bCs w:val="0"/>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hint="default" w:ascii="楷体_GB2312" w:hAnsi="宋体" w:eastAsia="楷体_GB2312" w:cs="Times New Roman"/>
          <w:b/>
          <w:color w:val="auto"/>
          <w:sz w:val="32"/>
          <w:szCs w:val="32"/>
          <w:highlight w:val="none"/>
          <w:u w:val="none"/>
          <w:lang w:val="en-US" w:eastAsia="zh-CN"/>
        </w:rPr>
      </w:pPr>
      <w:r>
        <w:rPr>
          <w:rFonts w:hint="default" w:ascii="楷体_GB2312" w:hAnsi="宋体" w:eastAsia="楷体_GB2312" w:cs="Times New Roman"/>
          <w:b/>
          <w:color w:val="auto"/>
          <w:sz w:val="32"/>
          <w:szCs w:val="32"/>
          <w:highlight w:val="none"/>
          <w:u w:val="none"/>
          <w:lang w:val="zh-CN" w:eastAsia="zh-CN"/>
        </w:rPr>
        <w:t>（一）</w:t>
      </w:r>
      <w:r>
        <w:rPr>
          <w:rFonts w:hint="default" w:ascii="楷体_GB2312" w:hAnsi="宋体" w:eastAsia="楷体_GB2312" w:cs="Times New Roman"/>
          <w:b/>
          <w:color w:val="auto"/>
          <w:sz w:val="32"/>
          <w:szCs w:val="32"/>
          <w:highlight w:val="none"/>
          <w:u w:val="none"/>
          <w:lang w:val="en-US" w:eastAsia="zh-CN"/>
        </w:rPr>
        <w:t>通用指标</w:t>
      </w:r>
      <w:r>
        <w:rPr>
          <w:rFonts w:hint="default" w:ascii="楷体_GB2312" w:hAnsi="宋体" w:eastAsia="楷体_GB2312" w:cs="Times New Roman"/>
          <w:b/>
          <w:color w:val="auto"/>
          <w:sz w:val="32"/>
          <w:szCs w:val="32"/>
          <w:highlight w:val="none"/>
          <w:u w:val="none"/>
          <w:lang w:val="zh-CN" w:eastAsia="zh-CN"/>
        </w:rPr>
        <w:t>绩效分析</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项目决策。</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①决策程序</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决策程序遵循了精神康复中心（一期）建设项目资金使用范围，以及可能的相关财政资金管理规定。虽然具体决策流程未在资料中明确列出，但可以推断该决策程序符合政策导向和实际需求，确保了项目的合法性和合规性。得分：6分</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②规划论证</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虽为阶段项目，但目标清晰，即为做好精神康复中心（一期）建设项目工作。资料中未提及具体的规划论证过程，但项目目标明确，与精神康复中心（一期）建设项目的整体规划和政策要求相契合。得分：6分</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③资金投向</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项目资金全部来源于财政拨款，总额为2000万元，专门用于精神康复中心（一期）建设项目经费。资金投向明确，符合项目规划和政策要求。得分：6分</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项目决策绩效得分：18分</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项目管理。</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①制度办法</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资料中未明确提及具体的制度办法，但可以推断项目在实施过程中遵循了广元市委、市政府以及相关部门关于财政资金管理等方面的制度规定。得分：2分</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②分配管理</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金分配因素选取较为全面的考虑相关行业事业发展实际和发展需求，权重设置有效突出项目实施重点；区域分布结果公平较为合理。资金分配管理遵循了财政资金管理原则，确保了资金的合理分配和有效使用。得分：10分</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③绩效监管</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虽然具体绩效监管措施未在资料中明确列出，但项目在实施过程中必然接受了相关部门和单位的监督和检查，以确保项目目标的实现和资金的有效使用。得分：6分</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项目管理绩效得分：18分</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3.项目实施。</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①预算执行</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项目资金全部为财政拨款，预算执行情况良好。虽然具体预算执行数据未在资料中明确列出，但根据项目目标和资金总额，以及项目实际完成情况，可以推断预算执行是符合计划要求的。得分：6分</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②资金使用</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项目资金使用符合规划论证和决策程序的要求，专门用于精神康复中心（一期）建设项目经费。资金使用过程中遵循了财政资金管理原则，确保了资金的合规性和有效性。得分：3分</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项目实施绩效得分：9分</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4.项目结果。</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①目标完成</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项目目标完成情况良好。根据资料中的数据，项目</w:t>
      </w:r>
      <w:r>
        <w:rPr>
          <w:rFonts w:hint="default" w:ascii="仿宋_GB2312" w:hAnsi="仿宋_GB2312" w:eastAsia="仿宋_GB2312" w:cs="仿宋_GB2312"/>
          <w:sz w:val="32"/>
          <w:szCs w:val="32"/>
          <w:lang w:val="en-US" w:eastAsia="zh-CN"/>
        </w:rPr>
        <w:t>项目竣工验收达标率</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区域辐射人群满意度</w:t>
      </w:r>
      <w:r>
        <w:rPr>
          <w:rFonts w:hint="eastAsia" w:ascii="仿宋_GB2312" w:hAnsi="仿宋_GB2312" w:eastAsia="仿宋_GB2312" w:cs="仿宋_GB2312"/>
          <w:sz w:val="32"/>
          <w:szCs w:val="32"/>
          <w:lang w:val="en-US" w:eastAsia="zh-CN"/>
        </w:rPr>
        <w:t>等指标均超过了预期目标值。得分：6分</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②完成时效</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项目在规定的时间内顺利完成，确保了精神康复中心（一期）建设项目顺利进行。虽然具体完成时效数据未在资料中明确列出，但根据项目目标和实际情况，可以推断项目完成时效是符合要求的。得分：3分</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项目结果绩效得分：9分</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（二）</w:t>
      </w:r>
      <w:r>
        <w:rPr>
          <w:rFonts w:hint="default" w:ascii="楷体_GB2312" w:hAnsi="宋体" w:eastAsia="楷体_GB2312" w:cs="Times New Roman"/>
          <w:b/>
          <w:color w:val="auto"/>
          <w:sz w:val="32"/>
          <w:szCs w:val="32"/>
          <w:highlight w:val="none"/>
          <w:u w:val="none"/>
          <w:lang w:val="en-US" w:eastAsia="zh-CN"/>
        </w:rPr>
        <w:t>专用指标</w:t>
      </w:r>
      <w:r>
        <w:rPr>
          <w:rFonts w:hint="default" w:ascii="楷体_GB2312" w:hAnsi="宋体" w:eastAsia="楷体_GB2312" w:cs="Times New Roman"/>
          <w:b/>
          <w:color w:val="auto"/>
          <w:sz w:val="32"/>
          <w:szCs w:val="32"/>
          <w:highlight w:val="none"/>
          <w:u w:val="none"/>
          <w:lang w:val="zh-CN" w:eastAsia="zh-CN"/>
        </w:rPr>
        <w:t>绩效分析</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1.产业发展。</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该项目实施符合市委市政府政策支持，但与相关企业成长性、经济性是否有促进作用无关，不对该项指标评分。</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民生保障。</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该项目非民生保障项目，不对该项指标评分。</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3.基础设施。</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该项目非基础设施项目，不对该项指标评分</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行政运转。</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该项目按规定用途、适用范围分配，符合专项资金管理要求，管理程序合规、资金分配标准合规，该指标绩效自评得分</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lang w:val="zh-CN" w:eastAsia="zh-CN"/>
        </w:rPr>
        <w:t>分</w:t>
      </w:r>
    </w:p>
    <w:p>
      <w:pPr>
        <w:pStyle w:val="2"/>
        <w:keepNext w:val="0"/>
        <w:keepLines w:val="0"/>
        <w:pageBreakBefore w:val="0"/>
        <w:widowControl w:val="0"/>
        <w:numPr>
          <w:ilvl w:val="0"/>
          <w:numId w:val="0"/>
        </w:numPr>
        <w:tabs>
          <w:tab w:val="left" w:pos="2160"/>
        </w:tabs>
        <w:kinsoku/>
        <w:wordWrap/>
        <w:overflowPunct/>
        <w:topLinePunct w:val="0"/>
        <w:autoSpaceDE/>
        <w:autoSpaceDN/>
        <w:bidi w:val="0"/>
        <w:adjustRightInd/>
        <w:spacing w:line="576" w:lineRule="exact"/>
        <w:ind w:firstLine="640" w:firstLineChars="200"/>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四</w:t>
      </w:r>
      <w:r>
        <w:rPr>
          <w:rFonts w:hint="eastAsia" w:ascii="黑体" w:hAnsi="黑体" w:eastAsia="黑体" w:cs="黑体"/>
          <w:b w:val="0"/>
          <w:bCs w:val="0"/>
          <w:color w:val="auto"/>
          <w:sz w:val="32"/>
          <w:szCs w:val="32"/>
          <w:highlight w:val="none"/>
          <w:u w:val="none"/>
        </w:rPr>
        <w:t>、评价结论</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本项目综合评价得分为‌</w:t>
      </w:r>
      <w:r>
        <w:rPr>
          <w:rFonts w:hint="eastAsia" w:ascii="仿宋_GB2312" w:hAnsi="仿宋_GB2312" w:eastAsia="仿宋_GB2312" w:cs="仿宋_GB2312"/>
          <w:sz w:val="32"/>
          <w:szCs w:val="32"/>
          <w:lang w:val="en-US" w:eastAsia="zh-CN"/>
        </w:rPr>
        <w:t>99</w:t>
      </w:r>
      <w:r>
        <w:rPr>
          <w:rFonts w:hint="default" w:ascii="仿宋_GB2312" w:hAnsi="仿宋_GB2312" w:eastAsia="仿宋_GB2312" w:cs="仿宋_GB2312"/>
          <w:sz w:val="32"/>
          <w:szCs w:val="32"/>
          <w:lang w:val="zh-CN" w:eastAsia="zh-CN"/>
        </w:rPr>
        <w:t>分（优秀等级）‌，各项绩效指标均全面完成，部分指标超额实现。</w:t>
      </w:r>
    </w:p>
    <w:p>
      <w:pPr>
        <w:pStyle w:val="2"/>
        <w:keepNext w:val="0"/>
        <w:keepLines w:val="0"/>
        <w:pageBreakBefore w:val="0"/>
        <w:widowControl w:val="0"/>
        <w:numPr>
          <w:ilvl w:val="0"/>
          <w:numId w:val="0"/>
        </w:numPr>
        <w:tabs>
          <w:tab w:val="left" w:pos="2160"/>
        </w:tabs>
        <w:kinsoku/>
        <w:wordWrap/>
        <w:overflowPunct/>
        <w:topLinePunct w:val="0"/>
        <w:autoSpaceDE/>
        <w:autoSpaceDN/>
        <w:bidi w:val="0"/>
        <w:adjustRightInd/>
        <w:spacing w:line="576" w:lineRule="exact"/>
        <w:ind w:firstLine="640" w:firstLineChars="200"/>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一是绩效评价指标设置还有待进一步完善；二是对项目部门负责人在绩效评价方面还需加强业务培训，以利于更好的推进此项工作。</w:t>
      </w:r>
    </w:p>
    <w:p>
      <w:pPr>
        <w:pStyle w:val="2"/>
        <w:keepNext w:val="0"/>
        <w:keepLines w:val="0"/>
        <w:pageBreakBefore w:val="0"/>
        <w:widowControl w:val="0"/>
        <w:numPr>
          <w:ilvl w:val="0"/>
          <w:numId w:val="0"/>
        </w:numPr>
        <w:tabs>
          <w:tab w:val="left" w:pos="2160"/>
        </w:tabs>
        <w:kinsoku/>
        <w:wordWrap/>
        <w:overflowPunct/>
        <w:topLinePunct w:val="0"/>
        <w:autoSpaceDE/>
        <w:autoSpaceDN/>
        <w:bidi w:val="0"/>
        <w:adjustRightInd/>
        <w:spacing w:line="576" w:lineRule="exact"/>
        <w:ind w:firstLine="640" w:firstLineChars="200"/>
        <w:textAlignment w:val="auto"/>
        <w:rPr>
          <w:rFonts w:hint="eastAsia" w:ascii="黑体" w:hAnsi="黑体" w:eastAsia="黑体" w:cs="黑体"/>
          <w:b w:val="0"/>
          <w:bCs w:val="0"/>
          <w:color w:val="auto"/>
          <w:kern w:val="0"/>
          <w:position w:val="3"/>
          <w:sz w:val="32"/>
          <w:szCs w:val="32"/>
          <w:highlight w:val="none"/>
          <w:u w:val="none"/>
          <w:lang w:val="zh-CN" w:eastAsia="zh-CN" w:bidi="ar-SA"/>
        </w:rPr>
      </w:pPr>
      <w:r>
        <w:rPr>
          <w:rFonts w:hint="eastAsia" w:ascii="黑体" w:hAnsi="黑体" w:eastAsia="黑体" w:cs="黑体"/>
          <w:b w:val="0"/>
          <w:bCs w:val="0"/>
          <w:color w:val="auto"/>
          <w:kern w:val="0"/>
          <w:position w:val="3"/>
          <w:sz w:val="32"/>
          <w:szCs w:val="32"/>
          <w:highlight w:val="none"/>
          <w:u w:val="none"/>
          <w:lang w:val="zh-CN" w:eastAsia="zh-CN" w:bidi="ar-SA"/>
        </w:rPr>
        <w:t>六、改进建议</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Times New Roman" w:hAnsi="Times New Roman" w:eastAsia="仿宋_GB2312" w:cs="Times New Roman"/>
          <w:b w:val="0"/>
          <w:bCs w:val="0"/>
          <w:color w:val="auto"/>
          <w:kern w:val="0"/>
          <w:sz w:val="32"/>
          <w:szCs w:val="32"/>
          <w:highlight w:val="none"/>
          <w:u w:val="none"/>
          <w:shd w:val="clear" w:color="auto" w:fill="FFFFFF"/>
          <w:lang w:val="zh-CN" w:eastAsia="zh-CN"/>
        </w:rPr>
        <w:t xml:space="preserve"> </w:t>
      </w:r>
      <w:r>
        <w:rPr>
          <w:rFonts w:hint="default" w:ascii="Times New Roman" w:hAnsi="Times New Roman" w:cs="Times New Roman"/>
          <w:b w:val="0"/>
          <w:bCs w:val="0"/>
          <w:color w:val="auto"/>
          <w:kern w:val="0"/>
          <w:position w:val="0"/>
          <w:sz w:val="32"/>
          <w:szCs w:val="32"/>
          <w:highlight w:val="none"/>
          <w:lang w:val="en-US" w:eastAsia="zh-CN" w:bidi="ar-SA"/>
        </w:rPr>
        <w:t xml:space="preserve"> </w:t>
      </w:r>
      <w:r>
        <w:rPr>
          <w:rFonts w:hint="eastAsia" w:cs="Times New Roman"/>
          <w:b w:val="0"/>
          <w:bCs w:val="0"/>
          <w:color w:val="auto"/>
          <w:kern w:val="0"/>
          <w:position w:val="0"/>
          <w:sz w:val="32"/>
          <w:szCs w:val="32"/>
          <w:highlight w:val="none"/>
          <w:lang w:val="en-US" w:eastAsia="zh-CN" w:bidi="ar-SA"/>
        </w:rPr>
        <w:t xml:space="preserve"> </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无</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titlePg/>
          <w:docGrid w:type="lines" w:linePitch="312" w:charSpace="0"/>
        </w:sectPr>
      </w:pPr>
    </w:p>
    <w:p>
      <w:pPr>
        <w:pStyle w:val="47"/>
        <w:keepNext w:val="0"/>
        <w:keepLines w:val="0"/>
        <w:pageBreakBefore w:val="0"/>
        <w:widowControl w:val="0"/>
        <w:kinsoku/>
        <w:wordWrap/>
        <w:overflowPunct/>
        <w:topLinePunct w:val="0"/>
        <w:autoSpaceDE/>
        <w:autoSpaceDN/>
        <w:bidi w:val="0"/>
        <w:spacing w:line="576" w:lineRule="exact"/>
        <w:ind w:left="0" w:leftChars="0" w:firstLine="880" w:firstLineChars="200"/>
        <w:jc w:val="center"/>
        <w:textAlignment w:val="auto"/>
        <w:rPr>
          <w:rFonts w:hint="default" w:ascii="Times New Roman" w:hAnsi="Times New Roman" w:eastAsia="方正小标宋简体" w:cs="Times New Roman"/>
          <w:color w:val="auto"/>
          <w:kern w:val="2"/>
          <w:sz w:val="44"/>
          <w:szCs w:val="44"/>
          <w:highlight w:val="none"/>
          <w:lang w:val="en-US" w:eastAsia="zh-CN"/>
        </w:rPr>
      </w:pPr>
      <w:r>
        <w:rPr>
          <w:rFonts w:hint="eastAsia" w:ascii="Times New Roman" w:hAnsi="Times New Roman" w:eastAsia="方正小标宋简体" w:cs="Times New Roman"/>
          <w:color w:val="auto"/>
          <w:kern w:val="2"/>
          <w:sz w:val="44"/>
          <w:szCs w:val="44"/>
          <w:highlight w:val="none"/>
          <w:lang w:val="en-US" w:eastAsia="zh-CN"/>
        </w:rPr>
        <w:t>社会救助工作经费</w:t>
      </w:r>
      <w:r>
        <w:rPr>
          <w:rFonts w:hint="default" w:ascii="Times New Roman" w:hAnsi="Times New Roman" w:eastAsia="方正小标宋简体" w:cs="Times New Roman"/>
          <w:color w:val="auto"/>
          <w:kern w:val="2"/>
          <w:sz w:val="44"/>
          <w:szCs w:val="44"/>
          <w:highlight w:val="none"/>
          <w:lang w:val="en-US" w:eastAsia="zh-CN"/>
        </w:rPr>
        <w:t>专项预算绩效自评报告</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（一）设立背景及基本情况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1.项目设立原因及背景</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社会救助工作经费的设立原因和背景主要是为了规范和加强社会救助工作的财务管理，确保资金使用的合理性和有效性，进而提升社会救助的效果和受益人群的生活质量。</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2.项目立项、资金申报的依据</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项目立项、资金申报的依据主要是本单位职能职责及年度工作计划。</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3.项目主要内容</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社会救助主要是国家</w:t>
      </w:r>
      <w:r>
        <w:rPr>
          <w:rFonts w:hint="eastAsia" w:ascii="仿宋_GB2312" w:hAnsi="仿宋_GB2312" w:eastAsia="仿宋_GB2312" w:cs="仿宋_GB2312"/>
          <w:sz w:val="32"/>
          <w:szCs w:val="32"/>
          <w:lang w:val="en-US" w:eastAsia="zh-CN"/>
        </w:rPr>
        <w:t>对于遭受</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"https://baike.baidu.com/item/%E8%87%AA%E7%84%B6%E7%81%BE%E5%AE%B3/81488?fromModule=lemma_inlink" \t "/home/user/Documents\\x/_blank"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zh-CN" w:eastAsia="zh-CN"/>
        </w:rPr>
        <w:t>自然灾害</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、失去</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"https://baike.baidu.com/item/%E5%8A%B3%E5%8A%A8%E8%83%BD%E5%8A%9B/361947?fromModule=lemma_inlink" \t "/home/user/Documents\\x/_blank"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zh-CN" w:eastAsia="zh-CN"/>
        </w:rPr>
        <w:t>劳动能力</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或者其他低收入公民给予</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"https://baike.baidu.com/item/%E7%89%A9%E8%B4%A8%E5%B8%AE%E5%8A%A9/22467531?fromModule=lemma_inlink" \t "/home/user/Documents\\x/_blank"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zh-CN" w:eastAsia="zh-CN"/>
        </w:rPr>
        <w:t>物质帮助</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"https://baike.baidu.com/item/%E7%B2%BE%E7%A5%9E%E6%95%91%E5%8A%A9/4644620?fromModule=lemma_inlink" \t "/home/user/Documents\\x/_blank"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zh-CN" w:eastAsia="zh-CN"/>
        </w:rPr>
        <w:t>精神救助</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，以维持其基本生活需求，保障其最低</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"https://baike.baidu.com/item/%E7%94%9F%E6%B4%BB%E6%B0%B4%E5%B9%B3/7959051?fromModule=lemma_inlink" \t "/home/user/Documents\\x/_blank"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zh-CN" w:eastAsia="zh-CN"/>
        </w:rPr>
        <w:t>生活水平</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的各种措施。</w:t>
      </w:r>
      <w:r>
        <w:rPr>
          <w:rFonts w:hint="eastAsia" w:ascii="仿宋_GB2312" w:hAnsi="仿宋_GB2312" w:eastAsia="仿宋_GB2312" w:cs="仿宋_GB2312"/>
          <w:sz w:val="32"/>
          <w:szCs w:val="32"/>
          <w:lang w:val="zh-CN" w:eastAsia="zh-CN"/>
        </w:rPr>
        <w:t>为确保社会救助工作的有效实施，合理的经费配置与使用至关重要。</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主管部门职能</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社会救助工作经费项目的主管部门职能广泛，包括但不限于资金管理、政策实施、救助服务提供，以及跨部门协作，以确保社会救助工作的有效实施和资源的合理分配。</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（二）</w:t>
      </w:r>
      <w:r>
        <w:rPr>
          <w:rFonts w:hint="default" w:ascii="楷体_GB2312" w:hAnsi="宋体" w:eastAsia="楷体_GB2312" w:cs="Times New Roman"/>
          <w:b/>
          <w:color w:val="auto"/>
          <w:sz w:val="32"/>
          <w:szCs w:val="32"/>
          <w:highlight w:val="none"/>
          <w:u w:val="none"/>
          <w:lang w:val="en-US" w:eastAsia="zh-CN"/>
        </w:rPr>
        <w:t>实施目的及支持方向</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社会救助工作经费实施目的及支持方向是确保社会救助工作的顺利开展，提高救助效率，保障困难群体的基本生活权益，促进社会公平与和谐。</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1、保障困难群体基本生活：通过提供必要的工作经费，确保社会救助政策能够得到有效执行，使困难群体能够及时获得必要的生活救助，保障其基本生活不受影响。</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2、促进社会公平与和谐：社会救助是国家社会保障体系的重要组成部分，通过合理的工作经费支持，有助于缩小社会贫富差距，促进社会公平与和谐。</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3、提高救助工作效率：充足的工作经费可以支持社会救助机构加强人员培训、信息化建设等工作，提高救助工作的专业性和效率。</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项目预算安排情况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社会救助工作经费项目作</w:t>
      </w:r>
      <w:r>
        <w:rPr>
          <w:rFonts w:hint="default" w:ascii="仿宋_GB2312" w:hAnsi="仿宋_GB2312" w:eastAsia="仿宋_GB2312" w:cs="仿宋_GB2312"/>
          <w:sz w:val="32"/>
          <w:szCs w:val="32"/>
          <w:lang w:val="zh-CN" w:eastAsia="zh-CN"/>
        </w:rPr>
        <w:t>为</w:t>
      </w:r>
      <w:r>
        <w:rPr>
          <w:rFonts w:hint="eastAsia" w:ascii="仿宋_GB2312" w:hAnsi="仿宋_GB2312" w:eastAsia="仿宋_GB2312" w:cs="仿宋_GB2312"/>
          <w:sz w:val="32"/>
          <w:szCs w:val="32"/>
          <w:lang w:val="en-US" w:eastAsia="zh-CN"/>
        </w:rPr>
        <w:t>延续性</w:t>
      </w:r>
      <w:r>
        <w:rPr>
          <w:rFonts w:hint="default" w:ascii="仿宋_GB2312" w:hAnsi="仿宋_GB2312" w:eastAsia="仿宋_GB2312" w:cs="仿宋_GB2312"/>
          <w:sz w:val="32"/>
          <w:szCs w:val="32"/>
          <w:lang w:val="zh-CN" w:eastAsia="zh-CN"/>
        </w:rPr>
        <w:t>项目，项目起止年限</w:t>
      </w:r>
      <w:r>
        <w:rPr>
          <w:rFonts w:hint="eastAsia" w:ascii="仿宋_GB2312" w:hAnsi="仿宋_GB2312" w:eastAsia="仿宋_GB2312" w:cs="仿宋_GB2312"/>
          <w:sz w:val="32"/>
          <w:szCs w:val="32"/>
          <w:lang w:val="en-US" w:eastAsia="zh-CN"/>
        </w:rPr>
        <w:t>为长期</w:t>
      </w:r>
      <w:r>
        <w:rPr>
          <w:rFonts w:hint="default" w:ascii="仿宋_GB2312" w:hAnsi="仿宋_GB2312" w:eastAsia="仿宋_GB2312" w:cs="仿宋_GB2312"/>
          <w:sz w:val="32"/>
          <w:szCs w:val="32"/>
          <w:lang w:val="zh-CN" w:eastAsia="zh-CN"/>
        </w:rPr>
        <w:t>，即该项目资金专门用于</w:t>
      </w:r>
      <w:r>
        <w:rPr>
          <w:rFonts w:hint="default" w:ascii="仿宋_GB2312" w:hAnsi="仿宋_GB2312" w:eastAsia="仿宋_GB2312" w:cs="仿宋_GB2312"/>
          <w:sz w:val="32"/>
          <w:szCs w:val="32"/>
          <w:lang w:val="en-US" w:eastAsia="zh-CN"/>
        </w:rPr>
        <w:t>社会救助政策宣传</w:t>
      </w:r>
      <w:r>
        <w:rPr>
          <w:rFonts w:hint="default" w:ascii="仿宋_GB2312" w:hAnsi="仿宋_GB2312" w:eastAsia="仿宋_GB2312" w:cs="仿宋_GB2312"/>
          <w:sz w:val="32"/>
          <w:szCs w:val="32"/>
          <w:lang w:val="zh-CN" w:eastAsia="zh-CN"/>
        </w:rPr>
        <w:t>。年度资金总额为</w:t>
      </w:r>
      <w:r>
        <w:rPr>
          <w:rFonts w:hint="eastAsia" w:ascii="仿宋_GB2312" w:hAnsi="仿宋_GB2312" w:eastAsia="仿宋_GB2312" w:cs="仿宋_GB2312"/>
          <w:sz w:val="32"/>
          <w:szCs w:val="32"/>
          <w:lang w:val="en-US" w:eastAsia="zh-CN"/>
        </w:rPr>
        <w:t>35</w:t>
      </w:r>
      <w:r>
        <w:rPr>
          <w:rFonts w:hint="default" w:ascii="仿宋_GB2312" w:hAnsi="仿宋_GB2312" w:eastAsia="仿宋_GB2312" w:cs="仿宋_GB2312"/>
          <w:sz w:val="32"/>
          <w:szCs w:val="32"/>
          <w:lang w:val="zh-CN" w:eastAsia="zh-CN"/>
        </w:rPr>
        <w:t>万元，全部来源于财政拨款</w:t>
      </w:r>
      <w:r>
        <w:rPr>
          <w:rFonts w:hint="eastAsia"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zh-CN" w:eastAsia="zh-CN"/>
        </w:rPr>
        <w:t>该预算安排全部作为</w:t>
      </w:r>
      <w:r>
        <w:rPr>
          <w:rFonts w:hint="default" w:ascii="仿宋_GB2312" w:hAnsi="仿宋_GB2312" w:eastAsia="仿宋_GB2312" w:cs="仿宋_GB2312"/>
          <w:sz w:val="32"/>
          <w:szCs w:val="32"/>
          <w:lang w:val="en-US" w:eastAsia="zh-CN"/>
        </w:rPr>
        <w:t>社会救助政策宣传</w:t>
      </w:r>
      <w:r>
        <w:rPr>
          <w:rFonts w:hint="default" w:ascii="仿宋_GB2312" w:hAnsi="仿宋_GB2312" w:eastAsia="仿宋_GB2312" w:cs="仿宋_GB2312"/>
          <w:sz w:val="32"/>
          <w:szCs w:val="32"/>
          <w:lang w:val="zh-CN" w:eastAsia="zh-CN"/>
        </w:rPr>
        <w:t>资金</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zh-CN" w:eastAsia="zh-CN"/>
        </w:rPr>
        <w:t>项目资金分配原则及考虑因素</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分配原则‌：遵循公平、公正、公开的原则，确保资金分配透明、合理</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zh-CN" w:eastAsia="zh-CN"/>
        </w:rPr>
        <w:t>项目资金分配情况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分配对象‌：</w:t>
      </w:r>
      <w:r>
        <w:rPr>
          <w:rFonts w:hint="default" w:ascii="仿宋_GB2312" w:hAnsi="仿宋_GB2312" w:eastAsia="仿宋_GB2312" w:cs="仿宋_GB2312"/>
          <w:sz w:val="32"/>
          <w:szCs w:val="32"/>
          <w:lang w:val="en-US" w:eastAsia="zh-CN"/>
        </w:rPr>
        <w:t>社会救助政策宣传</w:t>
      </w:r>
      <w:r>
        <w:rPr>
          <w:rFonts w:hint="default"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zh-CN" w:eastAsia="zh-CN"/>
        </w:rPr>
        <w:t>分配方式‌：</w:t>
      </w:r>
      <w:r>
        <w:rPr>
          <w:rFonts w:hint="eastAsia" w:ascii="仿宋_GB2312" w:hAnsi="仿宋_GB2312" w:eastAsia="仿宋_GB2312" w:cs="仿宋_GB2312"/>
          <w:sz w:val="32"/>
          <w:szCs w:val="32"/>
          <w:lang w:val="en-US" w:eastAsia="zh-CN"/>
        </w:rPr>
        <w:t>政策宣传</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分配结果‌：实际完成指标显示，</w:t>
      </w:r>
      <w:r>
        <w:rPr>
          <w:rFonts w:hint="default" w:ascii="仿宋_GB2312" w:hAnsi="仿宋_GB2312" w:eastAsia="仿宋_GB2312" w:cs="仿宋_GB2312"/>
          <w:sz w:val="32"/>
          <w:szCs w:val="32"/>
          <w:lang w:val="en-US" w:eastAsia="zh-CN"/>
        </w:rPr>
        <w:t>社会救助政策知晓</w:t>
      </w:r>
      <w:r>
        <w:rPr>
          <w:rFonts w:hint="eastAsia" w:ascii="仿宋_GB2312" w:hAnsi="仿宋_GB2312" w:eastAsia="仿宋_GB2312" w:cs="仿宋_GB2312"/>
          <w:sz w:val="32"/>
          <w:szCs w:val="32"/>
          <w:lang w:val="en-US" w:eastAsia="zh-CN"/>
        </w:rPr>
        <w:t>率达到95%</w:t>
      </w:r>
      <w:r>
        <w:rPr>
          <w:rFonts w:hint="default" w:ascii="仿宋_GB2312" w:hAnsi="仿宋_GB2312" w:eastAsia="仿宋_GB2312" w:cs="仿宋_GB2312"/>
          <w:sz w:val="32"/>
          <w:szCs w:val="32"/>
          <w:lang w:val="zh-CN" w:eastAsia="zh-CN"/>
        </w:rPr>
        <w:t>人，</w:t>
      </w:r>
      <w:r>
        <w:rPr>
          <w:rFonts w:hint="default" w:ascii="仿宋_GB2312" w:hAnsi="仿宋_GB2312" w:eastAsia="仿宋_GB2312" w:cs="仿宋_GB2312"/>
          <w:sz w:val="32"/>
          <w:szCs w:val="32"/>
          <w:lang w:val="en-US" w:eastAsia="zh-CN"/>
        </w:rPr>
        <w:t>社会救助资金使用合规率</w:t>
      </w:r>
      <w:r>
        <w:rPr>
          <w:rFonts w:hint="eastAsia" w:ascii="仿宋_GB2312" w:hAnsi="仿宋_GB2312" w:eastAsia="仿宋_GB2312" w:cs="仿宋_GB2312"/>
          <w:sz w:val="32"/>
          <w:szCs w:val="32"/>
          <w:lang w:val="en-US" w:eastAsia="zh-CN"/>
        </w:rPr>
        <w:t>100%</w:t>
      </w:r>
      <w:r>
        <w:rPr>
          <w:rFonts w:hint="default" w:ascii="仿宋_GB2312" w:hAnsi="仿宋_GB2312" w:eastAsia="仿宋_GB2312" w:cs="仿宋_GB2312"/>
          <w:sz w:val="32"/>
          <w:szCs w:val="32"/>
          <w:lang w:val="zh-CN" w:eastAsia="zh-CN"/>
        </w:rPr>
        <w:t>，表明资金分配</w:t>
      </w:r>
      <w:r>
        <w:rPr>
          <w:rFonts w:hint="eastAsia" w:ascii="仿宋_GB2312" w:hAnsi="仿宋_GB2312" w:eastAsia="仿宋_GB2312" w:cs="仿宋_GB2312"/>
          <w:sz w:val="32"/>
          <w:szCs w:val="32"/>
          <w:lang w:val="en-US" w:eastAsia="zh-CN"/>
        </w:rPr>
        <w:t>的</w:t>
      </w:r>
      <w:r>
        <w:rPr>
          <w:rFonts w:hint="default" w:ascii="仿宋_GB2312" w:hAnsi="仿宋_GB2312" w:eastAsia="仿宋_GB2312" w:cs="仿宋_GB2312"/>
          <w:sz w:val="32"/>
          <w:szCs w:val="32"/>
          <w:lang w:val="zh-CN" w:eastAsia="zh-CN"/>
        </w:rPr>
        <w:t>及时有效。</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综上所述，该项目预算安排合理，资金分配原则明确，考虑因素全面，分配情况符合实际需求，确保了救助工作经费的顺利进行。</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（四）项目绩效目标设置</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zh-CN" w:eastAsia="zh-CN"/>
        </w:rPr>
        <w:t>项目整体</w:t>
      </w:r>
      <w:r>
        <w:rPr>
          <w:rFonts w:hint="eastAsia" w:ascii="仿宋_GB2312" w:hAnsi="仿宋_GB2312" w:eastAsia="仿宋_GB2312" w:cs="仿宋_GB2312"/>
          <w:sz w:val="32"/>
          <w:szCs w:val="32"/>
          <w:lang w:val="en-US" w:eastAsia="zh-CN"/>
        </w:rPr>
        <w:t>绩效指标</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该项目为</w:t>
      </w:r>
      <w:r>
        <w:rPr>
          <w:rFonts w:hint="eastAsia" w:ascii="仿宋_GB2312" w:hAnsi="仿宋_GB2312" w:eastAsia="仿宋_GB2312" w:cs="仿宋_GB2312"/>
          <w:sz w:val="32"/>
          <w:szCs w:val="32"/>
          <w:lang w:val="en-US" w:eastAsia="zh-CN"/>
        </w:rPr>
        <w:t>广元市民政局</w:t>
      </w:r>
      <w:r>
        <w:rPr>
          <w:rFonts w:hint="default" w:ascii="仿宋_GB2312" w:hAnsi="仿宋_GB2312" w:eastAsia="仿宋_GB2312" w:cs="仿宋_GB2312"/>
          <w:sz w:val="32"/>
          <w:szCs w:val="32"/>
          <w:lang w:val="zh-CN" w:eastAsia="zh-CN"/>
        </w:rPr>
        <w:t>负责的</w:t>
      </w:r>
      <w:r>
        <w:rPr>
          <w:rFonts w:hint="eastAsia" w:ascii="仿宋_GB2312" w:hAnsi="仿宋_GB2312" w:eastAsia="仿宋_GB2312" w:cs="仿宋_GB2312"/>
          <w:sz w:val="32"/>
          <w:szCs w:val="32"/>
          <w:lang w:val="en-US" w:eastAsia="zh-CN"/>
        </w:rPr>
        <w:t>社会救助工作</w:t>
      </w:r>
      <w:r>
        <w:rPr>
          <w:rFonts w:hint="default" w:ascii="仿宋_GB2312" w:hAnsi="仿宋_GB2312" w:eastAsia="仿宋_GB2312" w:cs="仿宋_GB2312"/>
          <w:sz w:val="32"/>
          <w:szCs w:val="32"/>
          <w:lang w:val="zh-CN" w:eastAsia="zh-CN"/>
        </w:rPr>
        <w:t>项目，属于部门项目，为</w:t>
      </w:r>
      <w:r>
        <w:rPr>
          <w:rFonts w:hint="eastAsia" w:ascii="仿宋_GB2312" w:hAnsi="仿宋_GB2312" w:eastAsia="仿宋_GB2312" w:cs="仿宋_GB2312"/>
          <w:sz w:val="32"/>
          <w:szCs w:val="32"/>
          <w:lang w:val="en-US" w:eastAsia="zh-CN"/>
        </w:rPr>
        <w:t>延续</w:t>
      </w:r>
      <w:r>
        <w:rPr>
          <w:rFonts w:hint="default" w:ascii="仿宋_GB2312" w:hAnsi="仿宋_GB2312" w:eastAsia="仿宋_GB2312" w:cs="仿宋_GB2312"/>
          <w:sz w:val="32"/>
          <w:szCs w:val="32"/>
          <w:lang w:val="zh-CN" w:eastAsia="zh-CN"/>
        </w:rPr>
        <w:t>项目，项目周期为</w:t>
      </w:r>
      <w:r>
        <w:rPr>
          <w:rFonts w:hint="eastAsia" w:ascii="仿宋_GB2312" w:hAnsi="仿宋_GB2312" w:eastAsia="仿宋_GB2312" w:cs="仿宋_GB2312"/>
          <w:sz w:val="32"/>
          <w:szCs w:val="32"/>
          <w:lang w:val="en-US" w:eastAsia="zh-CN"/>
        </w:rPr>
        <w:t>长期</w:t>
      </w:r>
      <w:r>
        <w:rPr>
          <w:rFonts w:hint="default" w:ascii="仿宋_GB2312" w:hAnsi="仿宋_GB2312" w:eastAsia="仿宋_GB2312" w:cs="仿宋_GB2312"/>
          <w:sz w:val="32"/>
          <w:szCs w:val="32"/>
          <w:lang w:val="zh-CN" w:eastAsia="zh-CN"/>
        </w:rPr>
        <w:t>。项目资金总额为</w:t>
      </w:r>
      <w:r>
        <w:rPr>
          <w:rFonts w:hint="eastAsia" w:ascii="仿宋_GB2312" w:hAnsi="仿宋_GB2312" w:eastAsia="仿宋_GB2312" w:cs="仿宋_GB2312"/>
          <w:sz w:val="32"/>
          <w:szCs w:val="32"/>
          <w:lang w:val="en-US" w:eastAsia="zh-CN"/>
        </w:rPr>
        <w:t>35</w:t>
      </w:r>
      <w:r>
        <w:rPr>
          <w:rFonts w:hint="default" w:ascii="仿宋_GB2312" w:hAnsi="仿宋_GB2312" w:eastAsia="仿宋_GB2312" w:cs="仿宋_GB2312"/>
          <w:sz w:val="32"/>
          <w:szCs w:val="32"/>
          <w:lang w:val="zh-CN" w:eastAsia="zh-CN"/>
        </w:rPr>
        <w:t>万元，全部为财政拨</w:t>
      </w:r>
      <w:r>
        <w:rPr>
          <w:rFonts w:hint="eastAsia" w:ascii="仿宋_GB2312" w:hAnsi="仿宋_GB2312" w:eastAsia="仿宋_GB2312" w:cs="仿宋_GB2312"/>
          <w:sz w:val="32"/>
          <w:szCs w:val="32"/>
          <w:lang w:val="en-US" w:eastAsia="zh-CN"/>
        </w:rPr>
        <w:t>款</w:t>
      </w:r>
      <w:r>
        <w:rPr>
          <w:rFonts w:hint="default"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zh-CN" w:eastAsia="zh-CN"/>
        </w:rPr>
        <w:t>具体绩效目标设置情况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数量指标‌：</w:t>
      </w:r>
      <w:r>
        <w:rPr>
          <w:rFonts w:hint="default" w:ascii="仿宋_GB2312" w:hAnsi="仿宋_GB2312" w:eastAsia="仿宋_GB2312" w:cs="仿宋_GB2312"/>
          <w:sz w:val="32"/>
          <w:szCs w:val="32"/>
          <w:lang w:val="en-US" w:eastAsia="zh-CN"/>
        </w:rPr>
        <w:t>社会救助政策知晓率≥</w:t>
      </w:r>
      <w:r>
        <w:rPr>
          <w:rFonts w:hint="eastAsia" w:ascii="仿宋_GB2312" w:hAnsi="仿宋_GB2312" w:eastAsia="仿宋_GB2312" w:cs="仿宋_GB2312"/>
          <w:sz w:val="32"/>
          <w:szCs w:val="32"/>
          <w:lang w:val="en-US" w:eastAsia="zh-CN"/>
        </w:rPr>
        <w:t>90%</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zh-CN" w:eastAsia="zh-CN"/>
        </w:rPr>
        <w:t>质量指标‌：</w:t>
      </w:r>
      <w:r>
        <w:rPr>
          <w:rFonts w:hint="default" w:ascii="仿宋_GB2312" w:hAnsi="仿宋_GB2312" w:eastAsia="仿宋_GB2312" w:cs="仿宋_GB2312"/>
          <w:sz w:val="32"/>
          <w:szCs w:val="32"/>
          <w:lang w:val="en-US" w:eastAsia="zh-CN"/>
        </w:rPr>
        <w:t>低收入人口动态监测平台正常运行≥</w:t>
      </w:r>
      <w:r>
        <w:rPr>
          <w:rFonts w:hint="eastAsia" w:ascii="仿宋_GB2312" w:hAnsi="仿宋_GB2312" w:eastAsia="仿宋_GB2312" w:cs="仿宋_GB2312"/>
          <w:sz w:val="32"/>
          <w:szCs w:val="32"/>
          <w:lang w:val="en-US" w:eastAsia="zh-CN"/>
        </w:rPr>
        <w:t>80%</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en-US" w:eastAsia="zh-CN"/>
        </w:rPr>
        <w:t>社会救助资金使用合规率</w:t>
      </w:r>
      <w:r>
        <w:rPr>
          <w:rFonts w:hint="eastAsia" w:ascii="仿宋_GB2312" w:hAnsi="仿宋_GB2312" w:eastAsia="仿宋_GB2312" w:cs="仿宋_GB2312"/>
          <w:sz w:val="32"/>
          <w:szCs w:val="32"/>
          <w:lang w:val="en-US" w:eastAsia="zh-CN"/>
        </w:rPr>
        <w:t>=1005</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社会效益</w:t>
      </w:r>
      <w:r>
        <w:rPr>
          <w:rFonts w:hint="default" w:ascii="仿宋_GB2312" w:hAnsi="仿宋_GB2312" w:eastAsia="仿宋_GB2312" w:cs="仿宋_GB2312"/>
          <w:sz w:val="32"/>
          <w:szCs w:val="32"/>
          <w:lang w:val="zh-CN" w:eastAsia="zh-CN"/>
        </w:rPr>
        <w:t>指标‌：</w:t>
      </w:r>
      <w:r>
        <w:rPr>
          <w:rFonts w:hint="default" w:ascii="仿宋_GB2312" w:hAnsi="仿宋_GB2312" w:eastAsia="仿宋_GB2312" w:cs="仿宋_GB2312"/>
          <w:sz w:val="32"/>
          <w:szCs w:val="32"/>
          <w:lang w:val="en-US" w:eastAsia="zh-CN"/>
        </w:rPr>
        <w:t>社会救助政策宣传</w:t>
      </w:r>
      <w:r>
        <w:rPr>
          <w:rFonts w:hint="eastAsia" w:ascii="仿宋_GB2312" w:hAnsi="仿宋_GB2312" w:eastAsia="仿宋_GB2312" w:cs="仿宋_GB2312"/>
          <w:sz w:val="32"/>
          <w:szCs w:val="32"/>
          <w:lang w:val="en-US" w:eastAsia="zh-CN"/>
        </w:rPr>
        <w:t>进一步加强</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en-US" w:eastAsia="zh-CN"/>
        </w:rPr>
        <w:t>最低生活保障审批权限下放试点改革</w:t>
      </w:r>
      <w:r>
        <w:rPr>
          <w:rFonts w:hint="eastAsia" w:ascii="仿宋_GB2312" w:hAnsi="仿宋_GB2312" w:eastAsia="仿宋_GB2312" w:cs="仿宋_GB2312"/>
          <w:sz w:val="32"/>
          <w:szCs w:val="32"/>
          <w:lang w:val="en-US" w:eastAsia="zh-CN"/>
        </w:rPr>
        <w:t>进一步推进</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服务对象满意度‌：</w:t>
      </w:r>
      <w:r>
        <w:rPr>
          <w:rFonts w:hint="default" w:ascii="仿宋_GB2312" w:hAnsi="仿宋_GB2312" w:eastAsia="仿宋_GB2312" w:cs="仿宋_GB2312"/>
          <w:sz w:val="32"/>
          <w:szCs w:val="32"/>
          <w:lang w:val="en-US" w:eastAsia="zh-CN"/>
        </w:rPr>
        <w:t>救助对象满意度</w:t>
      </w:r>
      <w:r>
        <w:rPr>
          <w:rFonts w:hint="default"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zh-CN" w:eastAsia="zh-CN"/>
        </w:rPr>
        <w:t>0%</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经济成本‌：</w:t>
      </w:r>
      <w:r>
        <w:rPr>
          <w:rFonts w:hint="default" w:ascii="仿宋_GB2312" w:hAnsi="仿宋_GB2312" w:eastAsia="仿宋_GB2312" w:cs="仿宋_GB2312"/>
          <w:sz w:val="32"/>
          <w:szCs w:val="32"/>
          <w:lang w:val="en-US" w:eastAsia="zh-CN"/>
        </w:rPr>
        <w:t>救助工作经费</w:t>
      </w:r>
      <w:r>
        <w:rPr>
          <w:rFonts w:hint="eastAsia" w:ascii="仿宋_GB2312" w:hAnsi="仿宋_GB2312" w:eastAsia="仿宋_GB2312" w:cs="仿宋_GB2312"/>
          <w:sz w:val="32"/>
          <w:szCs w:val="32"/>
          <w:lang w:val="en-US" w:eastAsia="zh-CN"/>
        </w:rPr>
        <w:t>=58.70万元</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zh-CN" w:eastAsia="zh-CN"/>
        </w:rPr>
        <w:t>项目自评工作开展情况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根据项目自评表的内容，项目自评工作已经按照预定的绩效指标进行了全面的评估。自评结果显示，</w:t>
      </w:r>
      <w:r>
        <w:rPr>
          <w:rFonts w:hint="eastAsia" w:ascii="仿宋_GB2312" w:hAnsi="仿宋_GB2312" w:eastAsia="仿宋_GB2312" w:cs="仿宋_GB2312"/>
          <w:sz w:val="32"/>
          <w:szCs w:val="32"/>
          <w:lang w:val="en-US" w:eastAsia="zh-CN"/>
        </w:rPr>
        <w:t>部分指标还未完成</w:t>
      </w:r>
      <w:r>
        <w:rPr>
          <w:rFonts w:hint="default" w:ascii="仿宋_GB2312" w:hAnsi="仿宋_GB2312" w:eastAsia="仿宋_GB2312" w:cs="仿宋_GB2312"/>
          <w:sz w:val="32"/>
          <w:szCs w:val="32"/>
          <w:lang w:val="zh-CN" w:eastAsia="zh-CN"/>
        </w:rPr>
        <w:t>，表明项目绩效目标设置合理，执行情况良好。通过自评工作，进一步验证了项目的有效性和可行性，为后续项目的实施提供了有益的参考和借鉴。</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评价实施</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（一）评价目的</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一是全面评估项目实施的效果与效率，确保项目目标得到有效实现；二是识别项目执行过程中的优势与不足，为持续优化项目管理和提升服务质量提供依据；三是验证项目资金使用的合规性和效益性，保障财政资金的安全与高效；四是通过总结经验教训，为未来项目的规划与实施提供参考，从而更好地推动</w:t>
      </w:r>
      <w:r>
        <w:rPr>
          <w:rFonts w:hint="eastAsia" w:ascii="仿宋_GB2312" w:hAnsi="仿宋_GB2312" w:eastAsia="仿宋_GB2312" w:cs="仿宋_GB2312"/>
          <w:sz w:val="32"/>
          <w:szCs w:val="32"/>
          <w:lang w:val="en-US" w:eastAsia="zh-CN"/>
        </w:rPr>
        <w:t>救助</w:t>
      </w:r>
      <w:r>
        <w:rPr>
          <w:rFonts w:hint="eastAsia" w:ascii="仿宋_GB2312" w:hAnsi="仿宋_GB2312" w:eastAsia="仿宋_GB2312" w:cs="仿宋_GB2312"/>
          <w:sz w:val="32"/>
          <w:szCs w:val="32"/>
          <w:lang w:val="zh-CN" w:eastAsia="zh-CN"/>
        </w:rPr>
        <w:t>工作，助力社会经济发展。</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hint="default" w:ascii="仿宋_GB2312" w:hAnsi="仿宋_GB2312" w:eastAsia="仿宋_GB2312" w:cs="仿宋_GB2312"/>
          <w:sz w:val="32"/>
          <w:szCs w:val="32"/>
          <w:lang w:val="zh-CN" w:eastAsia="zh-CN"/>
        </w:rPr>
      </w:pPr>
      <w:r>
        <w:rPr>
          <w:rFonts w:hint="default" w:ascii="楷体_GB2312" w:hAnsi="宋体" w:eastAsia="楷体_GB2312" w:cs="Times New Roman"/>
          <w:b/>
          <w:color w:val="auto"/>
          <w:sz w:val="32"/>
          <w:szCs w:val="32"/>
          <w:highlight w:val="none"/>
          <w:u w:val="none"/>
          <w:lang w:val="zh-CN" w:eastAsia="zh-CN"/>
        </w:rPr>
        <w:t>（二）预设问题及评价重点</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在</w:t>
      </w:r>
      <w:r>
        <w:rPr>
          <w:rFonts w:hint="eastAsia" w:ascii="仿宋_GB2312" w:hAnsi="仿宋_GB2312" w:eastAsia="仿宋_GB2312" w:cs="仿宋_GB2312"/>
          <w:sz w:val="32"/>
          <w:szCs w:val="32"/>
          <w:lang w:val="en-US" w:eastAsia="zh-CN"/>
        </w:rPr>
        <w:t>社会救助</w:t>
      </w:r>
      <w:r>
        <w:rPr>
          <w:rFonts w:hint="eastAsia" w:ascii="仿宋_GB2312" w:hAnsi="仿宋_GB2312" w:eastAsia="仿宋_GB2312" w:cs="仿宋_GB2312"/>
          <w:sz w:val="32"/>
          <w:szCs w:val="32"/>
          <w:lang w:val="zh-CN" w:eastAsia="zh-CN"/>
        </w:rPr>
        <w:t>项目的执行过程中，我们预设了一系列问题以待评价，包括：项目资金是否按照预算和规定用途合理分配和使用？项目实施过程中是否存在管理漏洞或效率低下的问题？项目的受益群体是否真正实现了就业创业能力的提升？以及项目是否达到了预期的社会和经济效益？</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价重点将集中在资金支出使用的全过程及其实施效果上。首先，针对资金支出，我们将重点关注合规性、效率性和经济性，确保资金的合理运用。其次，在实施效果方面，我们将着重评价项目的目标达成度、效益性、影响力和持续性，以综合判断项目是否成功实现了既定目标</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（三）评价选点</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通过多渠道、多形式的宣传方式，普及社会救助政策，提高公众认知度与参与度，构建良好的社会救助氛围</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（四）评价方法</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自评中，根据项目情况和评价重点，我单位主要采用方法包括：单位自评法、实地勘察法、问卷调查法、座谈调研法等多种方法。</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（五）评价组织</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评价组由以下人员构成，并根据各自专业背景和经验进行职责分工：</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、评价组人员构成</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）评价组组长：由具备丰富项目管理经验和高级职称的专家担任，负责评价工作的总体指挥和协调。</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）财务专家：负责审核项目资金使用的合规性、合理性和效益性。</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）项目管理专家：负责评估项目实施过程的管理效率、风险控制及进度控制。</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）社会学专家：负责评价项目的社会影响力和受益群体的满意度。</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eastAsia="zh-CN"/>
        </w:rPr>
        <w:t>）统计分析人员：负责问卷数据的收集、整理和分析工作。</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、职责分工</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）评价组组长：负责制定评价方案，组织评价组成员开展评价工作，审核评价报告，并对评价结果负责。</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）财务专家：审查项目财务报表，评估资金使用的效率和效果，提出财务方面的评价意见和建议。</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）项目管理专家：审查项目实施方案，评估项目管理流程，识别项目管理中的问题和风险，并提出改进措施。</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）社会学专家：通过座谈会、访谈等方式，收集项目受益群体的反馈，评估项目的社会效益和影响力。</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eastAsia="zh-CN"/>
        </w:rPr>
        <w:t>）统计分析人员：负责设计问卷、收集数据、进行数据分析，为评价报告提供数据支持。</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通过明确的职责分工，评价组将协同合作，确保</w:t>
      </w:r>
      <w:r>
        <w:rPr>
          <w:rFonts w:hint="eastAsia" w:ascii="仿宋_GB2312" w:hAnsi="仿宋_GB2312" w:eastAsia="仿宋_GB2312" w:cs="仿宋_GB2312"/>
          <w:sz w:val="32"/>
          <w:szCs w:val="32"/>
          <w:lang w:val="en-US" w:eastAsia="zh-CN"/>
        </w:rPr>
        <w:t>社会救助</w:t>
      </w:r>
      <w:r>
        <w:rPr>
          <w:rFonts w:hint="eastAsia" w:ascii="仿宋_GB2312" w:hAnsi="仿宋_GB2312" w:eastAsia="仿宋_GB2312" w:cs="仿宋_GB2312"/>
          <w:sz w:val="32"/>
          <w:szCs w:val="32"/>
          <w:lang w:val="zh-CN" w:eastAsia="zh-CN"/>
        </w:rPr>
        <w:t>项目评价工作的科学性、公正性和有效性。</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val="0"/>
          <w:color w:val="auto"/>
          <w:sz w:val="32"/>
          <w:szCs w:val="32"/>
          <w:highlight w:val="none"/>
          <w:u w:val="none"/>
          <w:lang w:val="zh-CN"/>
        </w:rPr>
      </w:pPr>
      <w:r>
        <w:rPr>
          <w:rFonts w:hint="eastAsia" w:ascii="黑体" w:hAnsi="黑体" w:eastAsia="黑体" w:cs="黑体"/>
          <w:b w:val="0"/>
          <w:bCs w:val="0"/>
          <w:color w:val="auto"/>
          <w:sz w:val="32"/>
          <w:szCs w:val="32"/>
          <w:highlight w:val="none"/>
          <w:u w:val="none"/>
        </w:rPr>
        <w:t>三、</w:t>
      </w:r>
      <w:r>
        <w:rPr>
          <w:rFonts w:hint="eastAsia" w:ascii="黑体" w:hAnsi="黑体" w:eastAsia="黑体" w:cs="黑体"/>
          <w:b w:val="0"/>
          <w:bCs w:val="0"/>
          <w:color w:val="auto"/>
          <w:sz w:val="32"/>
          <w:szCs w:val="32"/>
          <w:highlight w:val="none"/>
          <w:u w:val="none"/>
          <w:lang w:eastAsia="zh-CN"/>
        </w:rPr>
        <w:t>绩效分析</w:t>
      </w:r>
      <w:r>
        <w:rPr>
          <w:rFonts w:hint="eastAsia" w:ascii="黑体" w:hAnsi="黑体" w:eastAsia="黑体" w:cs="黑体"/>
          <w:b w:val="0"/>
          <w:bCs w:val="0"/>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hint="default" w:ascii="楷体_GB2312" w:hAnsi="宋体" w:eastAsia="楷体_GB2312" w:cs="Times New Roman"/>
          <w:b/>
          <w:color w:val="auto"/>
          <w:sz w:val="32"/>
          <w:szCs w:val="32"/>
          <w:highlight w:val="none"/>
          <w:u w:val="none"/>
          <w:lang w:val="en-US" w:eastAsia="zh-CN"/>
        </w:rPr>
      </w:pPr>
      <w:r>
        <w:rPr>
          <w:rFonts w:hint="default" w:ascii="楷体_GB2312" w:hAnsi="宋体" w:eastAsia="楷体_GB2312" w:cs="Times New Roman"/>
          <w:b/>
          <w:color w:val="auto"/>
          <w:sz w:val="32"/>
          <w:szCs w:val="32"/>
          <w:highlight w:val="none"/>
          <w:u w:val="none"/>
          <w:lang w:val="zh-CN" w:eastAsia="zh-CN"/>
        </w:rPr>
        <w:t>（一）</w:t>
      </w:r>
      <w:r>
        <w:rPr>
          <w:rFonts w:hint="default" w:ascii="楷体_GB2312" w:hAnsi="宋体" w:eastAsia="楷体_GB2312" w:cs="Times New Roman"/>
          <w:b/>
          <w:color w:val="auto"/>
          <w:sz w:val="32"/>
          <w:szCs w:val="32"/>
          <w:highlight w:val="none"/>
          <w:u w:val="none"/>
          <w:lang w:val="en-US" w:eastAsia="zh-CN"/>
        </w:rPr>
        <w:t>通用指标</w:t>
      </w:r>
      <w:r>
        <w:rPr>
          <w:rFonts w:hint="default" w:ascii="楷体_GB2312" w:hAnsi="宋体" w:eastAsia="楷体_GB2312" w:cs="Times New Roman"/>
          <w:b/>
          <w:color w:val="auto"/>
          <w:sz w:val="32"/>
          <w:szCs w:val="32"/>
          <w:highlight w:val="none"/>
          <w:u w:val="none"/>
          <w:lang w:val="zh-CN" w:eastAsia="zh-CN"/>
        </w:rPr>
        <w:t>绩效分析。</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项目决策。</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本单位项目决策程序严密，规划论证符合中央、省委省政府有关部署安排，项目属于政府支持范围，未与其它项目交叉重复，项目决策得分18分。</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项目管理。</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本单位资金管理办法等制度体系健全完善，不存在管理制度缺失、管理办法过期等情况，资金分配严格按管理办法执行，事前评估、项目绩效监管均按要求开展，该指标自评得分1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zh-CN" w:eastAsia="zh-CN"/>
        </w:rPr>
        <w:t>分。</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3.项目实施。</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该项目资金预算执行率</w:t>
      </w:r>
      <w:r>
        <w:rPr>
          <w:rFonts w:hint="eastAsia" w:ascii="仿宋_GB2312" w:hAnsi="仿宋_GB2312" w:eastAsia="仿宋_GB2312" w:cs="仿宋_GB2312"/>
          <w:sz w:val="32"/>
          <w:szCs w:val="32"/>
          <w:lang w:val="en-US" w:eastAsia="zh-CN"/>
        </w:rPr>
        <w:t>47,9</w:t>
      </w:r>
      <w:r>
        <w:rPr>
          <w:rFonts w:hint="eastAsia" w:ascii="仿宋_GB2312" w:hAnsi="仿宋_GB2312" w:eastAsia="仿宋_GB2312" w:cs="仿宋_GB2312"/>
          <w:sz w:val="32"/>
          <w:szCs w:val="32"/>
          <w:lang w:val="zh-CN" w:eastAsia="zh-CN"/>
        </w:rPr>
        <w:t>%，资金使用、拨付符合国家财经法规，财务管理制度及有关专项资金管理制度办法规定和审批程序，不存在超范围、超标准使用，专项资金使用无损失浪费及截留、挤占、挪用现象，该指标自评得分</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zh-CN" w:eastAsia="zh-CN"/>
        </w:rPr>
        <w:t>分。</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4.项目结果。</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年末，该目标</w:t>
      </w:r>
      <w:r>
        <w:rPr>
          <w:rFonts w:hint="eastAsia" w:ascii="仿宋_GB2312" w:hAnsi="仿宋_GB2312" w:eastAsia="仿宋_GB2312" w:cs="仿宋_GB2312"/>
          <w:sz w:val="32"/>
          <w:szCs w:val="32"/>
          <w:lang w:val="en-US" w:eastAsia="zh-CN"/>
        </w:rPr>
        <w:t>未</w:t>
      </w:r>
      <w:r>
        <w:rPr>
          <w:rFonts w:hint="eastAsia" w:ascii="仿宋_GB2312" w:hAnsi="仿宋_GB2312" w:eastAsia="仿宋_GB2312" w:cs="仿宋_GB2312"/>
          <w:sz w:val="32"/>
          <w:szCs w:val="32"/>
          <w:lang w:val="zh-CN" w:eastAsia="zh-CN"/>
        </w:rPr>
        <w:t>完成预期目标，目标实现程度</w:t>
      </w:r>
      <w:r>
        <w:rPr>
          <w:rFonts w:hint="eastAsia" w:ascii="仿宋_GB2312" w:hAnsi="仿宋_GB2312" w:eastAsia="仿宋_GB2312" w:cs="仿宋_GB2312"/>
          <w:sz w:val="32"/>
          <w:szCs w:val="32"/>
          <w:lang w:val="en-US" w:eastAsia="zh-CN"/>
        </w:rPr>
        <w:t>低</w:t>
      </w:r>
      <w:r>
        <w:rPr>
          <w:rFonts w:hint="eastAsia" w:ascii="仿宋_GB2312" w:hAnsi="仿宋_GB2312" w:eastAsia="仿宋_GB2312" w:cs="仿宋_GB2312"/>
          <w:sz w:val="32"/>
          <w:szCs w:val="32"/>
          <w:lang w:val="zh-CN" w:eastAsia="zh-CN"/>
        </w:rPr>
        <w:t>，该指标自评得分</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eastAsia="zh-CN"/>
        </w:rPr>
        <w:t>分。</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hint="default"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zh-CN" w:eastAsia="zh-CN"/>
        </w:rPr>
        <w:t>（二）</w:t>
      </w:r>
      <w:r>
        <w:rPr>
          <w:rFonts w:hint="default" w:ascii="楷体_GB2312" w:hAnsi="宋体" w:eastAsia="楷体_GB2312" w:cs="Times New Roman"/>
          <w:b/>
          <w:color w:val="auto"/>
          <w:sz w:val="32"/>
          <w:szCs w:val="32"/>
          <w:highlight w:val="none"/>
          <w:u w:val="none"/>
          <w:lang w:val="en-US" w:eastAsia="zh-CN"/>
        </w:rPr>
        <w:t>专用指标</w:t>
      </w:r>
      <w:r>
        <w:rPr>
          <w:rFonts w:hint="default" w:ascii="楷体_GB2312" w:hAnsi="宋体" w:eastAsia="楷体_GB2312" w:cs="Times New Roman"/>
          <w:b/>
          <w:color w:val="auto"/>
          <w:sz w:val="32"/>
          <w:szCs w:val="32"/>
          <w:highlight w:val="none"/>
          <w:u w:val="none"/>
          <w:lang w:val="zh-CN" w:eastAsia="zh-CN"/>
        </w:rPr>
        <w:t>绩效分析</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1.产业发展。</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该项目实施符合市委市政府政策支持，但与相关企业成长性、经济性是否有促进作用无关，不对该项指标评分。</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民生保障。</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该项目非民生保障项目，不对该项指标评分。</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3.基础设施。</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该项目非基础设施项目，不对该</w:t>
      </w:r>
      <w:r>
        <w:rPr>
          <w:rFonts w:hint="eastAsia" w:ascii="仿宋_GB2312" w:hAnsi="仿宋_GB2312" w:eastAsia="仿宋_GB2312" w:cs="仿宋_GB2312"/>
          <w:sz w:val="32"/>
          <w:szCs w:val="32"/>
          <w:lang w:val="en-US" w:eastAsia="zh-CN"/>
        </w:rPr>
        <w:t>项</w:t>
      </w:r>
      <w:r>
        <w:rPr>
          <w:rFonts w:hint="eastAsia" w:ascii="仿宋_GB2312" w:hAnsi="仿宋_GB2312" w:eastAsia="仿宋_GB2312" w:cs="仿宋_GB2312"/>
          <w:sz w:val="32"/>
          <w:szCs w:val="32"/>
          <w:lang w:val="zh-CN" w:eastAsia="zh-CN"/>
        </w:rPr>
        <w:t>指标评分</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行政运转。</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该项目按规定用途、适用范围分配，符合专项资金管理要求，管理程序合规、资金分配标准合规，该指标绩效自评得分</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lang w:val="zh-CN" w:eastAsia="zh-CN"/>
        </w:rPr>
        <w:t>分。</w:t>
      </w:r>
    </w:p>
    <w:p>
      <w:pPr>
        <w:pStyle w:val="2"/>
        <w:keepNext w:val="0"/>
        <w:keepLines w:val="0"/>
        <w:pageBreakBefore w:val="0"/>
        <w:widowControl w:val="0"/>
        <w:numPr>
          <w:ilvl w:val="0"/>
          <w:numId w:val="0"/>
        </w:numPr>
        <w:tabs>
          <w:tab w:val="left" w:pos="2160"/>
        </w:tabs>
        <w:kinsoku/>
        <w:wordWrap/>
        <w:overflowPunct/>
        <w:topLinePunct w:val="0"/>
        <w:autoSpaceDE/>
        <w:autoSpaceDN/>
        <w:bidi w:val="0"/>
        <w:adjustRightInd/>
        <w:spacing w:line="576" w:lineRule="exact"/>
        <w:ind w:firstLine="640" w:firstLineChars="200"/>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四</w:t>
      </w:r>
      <w:r>
        <w:rPr>
          <w:rFonts w:hint="eastAsia" w:ascii="黑体" w:hAnsi="黑体" w:eastAsia="黑体" w:cs="黑体"/>
          <w:b w:val="0"/>
          <w:bCs w:val="0"/>
          <w:color w:val="auto"/>
          <w:sz w:val="32"/>
          <w:szCs w:val="32"/>
          <w:highlight w:val="none"/>
          <w:u w:val="none"/>
        </w:rPr>
        <w:t>、评价结论</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本项目综合评价得分为‌9</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zh-CN" w:eastAsia="zh-CN"/>
        </w:rPr>
        <w:t>分‌，各项绩效指标均全面完成，部分指标</w:t>
      </w:r>
      <w:r>
        <w:rPr>
          <w:rFonts w:hint="eastAsia" w:ascii="仿宋_GB2312" w:hAnsi="仿宋_GB2312" w:eastAsia="仿宋_GB2312" w:cs="仿宋_GB2312"/>
          <w:sz w:val="32"/>
          <w:szCs w:val="32"/>
          <w:lang w:val="en-US" w:eastAsia="zh-CN"/>
        </w:rPr>
        <w:t>未</w:t>
      </w:r>
      <w:r>
        <w:rPr>
          <w:rFonts w:hint="default" w:ascii="仿宋_GB2312" w:hAnsi="仿宋_GB2312" w:eastAsia="仿宋_GB2312" w:cs="仿宋_GB2312"/>
          <w:sz w:val="32"/>
          <w:szCs w:val="32"/>
          <w:lang w:val="zh-CN" w:eastAsia="zh-CN"/>
        </w:rPr>
        <w:t>实现。</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项目预算资金</w:t>
      </w:r>
      <w:r>
        <w:rPr>
          <w:rFonts w:hint="eastAsia" w:ascii="仿宋_GB2312" w:hAnsi="仿宋_GB2312" w:eastAsia="仿宋_GB2312" w:cs="仿宋_GB2312"/>
          <w:sz w:val="32"/>
          <w:szCs w:val="32"/>
          <w:lang w:val="en-US" w:eastAsia="zh-CN"/>
        </w:rPr>
        <w:t>58.70</w:t>
      </w:r>
      <w:r>
        <w:rPr>
          <w:rFonts w:hint="default" w:ascii="仿宋_GB2312" w:hAnsi="仿宋_GB2312" w:eastAsia="仿宋_GB2312" w:cs="仿宋_GB2312"/>
          <w:sz w:val="32"/>
          <w:szCs w:val="32"/>
          <w:lang w:val="zh-CN" w:eastAsia="zh-CN"/>
        </w:rPr>
        <w:t>万元，专项用于</w:t>
      </w:r>
      <w:r>
        <w:rPr>
          <w:rFonts w:hint="eastAsia" w:ascii="仿宋_GB2312" w:hAnsi="仿宋_GB2312" w:eastAsia="仿宋_GB2312" w:cs="仿宋_GB2312"/>
          <w:sz w:val="32"/>
          <w:szCs w:val="32"/>
          <w:lang w:val="en-US" w:eastAsia="zh-CN"/>
        </w:rPr>
        <w:t>社会救助</w:t>
      </w:r>
      <w:r>
        <w:rPr>
          <w:rFonts w:hint="default" w:ascii="仿宋_GB2312" w:hAnsi="仿宋_GB2312" w:eastAsia="仿宋_GB2312" w:cs="仿宋_GB2312"/>
          <w:sz w:val="32"/>
          <w:szCs w:val="32"/>
          <w:lang w:val="en-US" w:eastAsia="zh-CN"/>
        </w:rPr>
        <w:t>经费</w:t>
      </w:r>
      <w:r>
        <w:rPr>
          <w:rFonts w:hint="default"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en-US" w:eastAsia="zh-CN"/>
        </w:rPr>
        <w:t>社会救助政策知晓率</w:t>
      </w:r>
      <w:r>
        <w:rPr>
          <w:rFonts w:hint="eastAsia" w:ascii="仿宋_GB2312" w:hAnsi="仿宋_GB2312" w:eastAsia="仿宋_GB2312" w:cs="仿宋_GB2312"/>
          <w:sz w:val="32"/>
          <w:szCs w:val="32"/>
          <w:lang w:val="en-US" w:eastAsia="zh-CN"/>
        </w:rPr>
        <w:t>达到95%</w:t>
      </w:r>
      <w:r>
        <w:rPr>
          <w:rFonts w:hint="default"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en-US" w:eastAsia="zh-CN"/>
        </w:rPr>
        <w:t>社会救助政策宣传</w:t>
      </w:r>
      <w:r>
        <w:rPr>
          <w:rFonts w:hint="eastAsia" w:ascii="仿宋_GB2312" w:hAnsi="仿宋_GB2312" w:eastAsia="仿宋_GB2312" w:cs="仿宋_GB2312"/>
          <w:sz w:val="32"/>
          <w:szCs w:val="32"/>
          <w:lang w:val="en-US" w:eastAsia="zh-CN"/>
        </w:rPr>
        <w:t>成效显著</w:t>
      </w:r>
      <w:r>
        <w:rPr>
          <w:rFonts w:hint="default" w:ascii="仿宋_GB2312" w:hAnsi="仿宋_GB2312" w:eastAsia="仿宋_GB2312" w:cs="仿宋_GB2312"/>
          <w:sz w:val="32"/>
          <w:szCs w:val="32"/>
          <w:lang w:val="zh-CN" w:eastAsia="zh-CN"/>
        </w:rPr>
        <w:t>，精准落实关怀政策。</w:t>
      </w:r>
    </w:p>
    <w:p>
      <w:pPr>
        <w:pStyle w:val="2"/>
        <w:keepNext w:val="0"/>
        <w:keepLines w:val="0"/>
        <w:pageBreakBefore w:val="0"/>
        <w:widowControl w:val="0"/>
        <w:numPr>
          <w:ilvl w:val="0"/>
          <w:numId w:val="0"/>
        </w:numPr>
        <w:tabs>
          <w:tab w:val="left" w:pos="2160"/>
        </w:tabs>
        <w:kinsoku/>
        <w:wordWrap/>
        <w:overflowPunct/>
        <w:topLinePunct w:val="0"/>
        <w:autoSpaceDE/>
        <w:autoSpaceDN/>
        <w:bidi w:val="0"/>
        <w:adjustRightInd/>
        <w:spacing w:line="576" w:lineRule="exact"/>
        <w:ind w:firstLine="640" w:firstLineChars="200"/>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预算执行进度低只达到47.9%，下达市民政局社会救助工作经费58.70万元，其中包括上年结转额度23.70万元，支出社会救助经费28.12万元。</w:t>
      </w:r>
    </w:p>
    <w:p>
      <w:pPr>
        <w:pStyle w:val="2"/>
        <w:keepNext w:val="0"/>
        <w:keepLines w:val="0"/>
        <w:pageBreakBefore w:val="0"/>
        <w:widowControl w:val="0"/>
        <w:numPr>
          <w:ilvl w:val="0"/>
          <w:numId w:val="0"/>
        </w:numPr>
        <w:tabs>
          <w:tab w:val="left" w:pos="2160"/>
        </w:tabs>
        <w:kinsoku/>
        <w:wordWrap/>
        <w:overflowPunct/>
        <w:topLinePunct w:val="0"/>
        <w:autoSpaceDE/>
        <w:autoSpaceDN/>
        <w:bidi w:val="0"/>
        <w:adjustRightInd/>
        <w:spacing w:line="576" w:lineRule="exact"/>
        <w:ind w:firstLine="640" w:firstLineChars="200"/>
        <w:textAlignment w:val="auto"/>
        <w:rPr>
          <w:rFonts w:hint="eastAsia" w:ascii="黑体" w:hAnsi="黑体" w:eastAsia="黑体" w:cs="黑体"/>
          <w:b w:val="0"/>
          <w:bCs w:val="0"/>
          <w:color w:val="auto"/>
          <w:kern w:val="0"/>
          <w:position w:val="3"/>
          <w:sz w:val="32"/>
          <w:szCs w:val="32"/>
          <w:highlight w:val="none"/>
          <w:u w:val="none"/>
          <w:lang w:val="zh-CN" w:eastAsia="zh-CN" w:bidi="ar-SA"/>
        </w:rPr>
      </w:pPr>
      <w:r>
        <w:rPr>
          <w:rFonts w:hint="eastAsia" w:ascii="黑体" w:hAnsi="黑体" w:eastAsia="黑体" w:cs="黑体"/>
          <w:b w:val="0"/>
          <w:bCs w:val="0"/>
          <w:color w:val="auto"/>
          <w:kern w:val="0"/>
          <w:position w:val="3"/>
          <w:sz w:val="32"/>
          <w:szCs w:val="32"/>
          <w:highlight w:val="none"/>
          <w:u w:val="none"/>
          <w:lang w:val="zh-CN" w:eastAsia="zh-CN" w:bidi="ar-SA"/>
        </w:rPr>
        <w:t>六、改进建议</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加大救助政策宣传力度，创新宣传方式，提高政策知晓率</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titlePg/>
          <w:docGrid w:type="lines" w:linePitch="312" w:charSpace="0"/>
        </w:sectPr>
      </w:pPr>
    </w:p>
    <w:p>
      <w:pPr>
        <w:rPr>
          <w:rFonts w:hint="eastAsia"/>
          <w:lang w:val="en-US" w:eastAsia="zh-CN"/>
        </w:rPr>
      </w:pPr>
    </w:p>
    <w:p>
      <w:pPr>
        <w:rPr>
          <w:rFonts w:hint="eastAsia"/>
          <w:lang w:val="en-US" w:eastAsia="zh-CN"/>
        </w:rPr>
      </w:pPr>
    </w:p>
    <w:p>
      <w:pPr>
        <w:spacing w:line="600" w:lineRule="exact"/>
        <w:jc w:val="center"/>
        <w:outlineLvl w:val="0"/>
        <w:rPr>
          <w:rFonts w:hint="eastAsia" w:ascii="仿宋" w:hAnsi="仿宋" w:eastAsia="仿宋"/>
          <w:b w:val="0"/>
          <w:color w:val="auto"/>
          <w:highlight w:val="none"/>
        </w:rPr>
      </w:pPr>
      <w:bookmarkStart w:id="68" w:name="_Toc28939"/>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五部分 附表</w:t>
      </w:r>
      <w:bookmarkEnd w:id="68"/>
    </w:p>
    <w:p>
      <w:pPr>
        <w:pStyle w:val="4"/>
        <w:rPr>
          <w:rFonts w:hint="eastAsia" w:ascii="仿宋_GB2312" w:hAnsi="仿宋_GB2312" w:eastAsia="仿宋_GB2312" w:cs="仿宋_GB2312"/>
          <w:color w:val="auto"/>
          <w:highlight w:val="none"/>
        </w:rPr>
      </w:pPr>
      <w:bookmarkStart w:id="69" w:name="_Toc12804"/>
      <w:r>
        <w:rPr>
          <w:rFonts w:hint="eastAsia" w:ascii="仿宋_GB2312" w:hAnsi="仿宋_GB2312" w:eastAsia="仿宋_GB2312" w:cs="仿宋_GB2312"/>
          <w:b w:val="0"/>
          <w:color w:val="auto"/>
          <w:highlight w:val="none"/>
        </w:rPr>
        <w:t>一、收</w:t>
      </w:r>
      <w:r>
        <w:rPr>
          <w:rStyle w:val="29"/>
          <w:rFonts w:hint="eastAsia" w:ascii="仿宋_GB2312" w:hAnsi="仿宋_GB2312" w:eastAsia="仿宋_GB2312" w:cs="仿宋_GB2312"/>
          <w:b w:val="0"/>
          <w:bCs w:val="0"/>
          <w:color w:val="auto"/>
          <w:highlight w:val="none"/>
        </w:rPr>
        <w:t>入支出决算总表</w:t>
      </w:r>
      <w:bookmarkEnd w:id="69"/>
    </w:p>
    <w:p>
      <w:pPr>
        <w:pStyle w:val="4"/>
        <w:rPr>
          <w:rFonts w:hint="eastAsia" w:ascii="仿宋_GB2312" w:hAnsi="仿宋_GB2312" w:eastAsia="仿宋_GB2312" w:cs="仿宋_GB2312"/>
          <w:color w:val="auto"/>
          <w:highlight w:val="none"/>
        </w:rPr>
      </w:pPr>
      <w:bookmarkStart w:id="70" w:name="_Toc19098"/>
      <w:bookmarkStart w:id="71" w:name="_Toc15396620"/>
      <w:r>
        <w:rPr>
          <w:rFonts w:hint="eastAsia" w:ascii="仿宋_GB2312" w:hAnsi="仿宋_GB2312" w:eastAsia="仿宋_GB2312" w:cs="仿宋_GB2312"/>
          <w:b w:val="0"/>
          <w:color w:val="auto"/>
          <w:highlight w:val="none"/>
        </w:rPr>
        <w:t>二、收</w:t>
      </w:r>
      <w:r>
        <w:rPr>
          <w:rStyle w:val="29"/>
          <w:rFonts w:hint="eastAsia" w:ascii="仿宋_GB2312" w:hAnsi="仿宋_GB2312" w:eastAsia="仿宋_GB2312" w:cs="仿宋_GB2312"/>
          <w:b w:val="0"/>
          <w:bCs w:val="0"/>
          <w:color w:val="auto"/>
          <w:highlight w:val="none"/>
        </w:rPr>
        <w:t>入决算表</w:t>
      </w:r>
      <w:bookmarkEnd w:id="70"/>
      <w:bookmarkEnd w:id="71"/>
    </w:p>
    <w:p>
      <w:pPr>
        <w:pStyle w:val="4"/>
        <w:rPr>
          <w:rFonts w:hint="eastAsia" w:ascii="仿宋_GB2312" w:hAnsi="仿宋_GB2312" w:eastAsia="仿宋_GB2312" w:cs="仿宋_GB2312"/>
          <w:color w:val="auto"/>
          <w:highlight w:val="none"/>
        </w:rPr>
      </w:pPr>
      <w:bookmarkStart w:id="72" w:name="_Toc15396621"/>
      <w:bookmarkStart w:id="73" w:name="_Toc21575"/>
      <w:r>
        <w:rPr>
          <w:rStyle w:val="29"/>
          <w:rFonts w:hint="eastAsia" w:ascii="仿宋_GB2312" w:hAnsi="仿宋_GB2312" w:eastAsia="仿宋_GB2312" w:cs="仿宋_GB2312"/>
          <w:b w:val="0"/>
          <w:bCs w:val="0"/>
          <w:color w:val="auto"/>
          <w:highlight w:val="none"/>
        </w:rPr>
        <w:t>三、</w:t>
      </w:r>
      <w:r>
        <w:rPr>
          <w:rFonts w:hint="eastAsia" w:ascii="仿宋_GB2312" w:hAnsi="仿宋_GB2312" w:eastAsia="仿宋_GB2312" w:cs="仿宋_GB2312"/>
          <w:b w:val="0"/>
          <w:color w:val="auto"/>
          <w:highlight w:val="none"/>
        </w:rPr>
        <w:t>支</w:t>
      </w:r>
      <w:r>
        <w:rPr>
          <w:rStyle w:val="29"/>
          <w:rFonts w:hint="eastAsia" w:ascii="仿宋_GB2312" w:hAnsi="仿宋_GB2312" w:eastAsia="仿宋_GB2312" w:cs="仿宋_GB2312"/>
          <w:b w:val="0"/>
          <w:bCs w:val="0"/>
          <w:color w:val="auto"/>
          <w:highlight w:val="none"/>
        </w:rPr>
        <w:t>出决算表</w:t>
      </w:r>
      <w:bookmarkEnd w:id="72"/>
      <w:bookmarkEnd w:id="73"/>
    </w:p>
    <w:p>
      <w:pPr>
        <w:pStyle w:val="4"/>
        <w:rPr>
          <w:rFonts w:hint="eastAsia" w:ascii="仿宋_GB2312" w:hAnsi="仿宋_GB2312" w:eastAsia="仿宋_GB2312" w:cs="仿宋_GB2312"/>
          <w:b w:val="0"/>
          <w:color w:val="auto"/>
          <w:highlight w:val="none"/>
        </w:rPr>
      </w:pPr>
      <w:bookmarkStart w:id="74" w:name="_Toc19238"/>
      <w:bookmarkStart w:id="75" w:name="_Toc15396622"/>
      <w:r>
        <w:rPr>
          <w:rStyle w:val="29"/>
          <w:rFonts w:hint="eastAsia" w:ascii="仿宋_GB2312" w:hAnsi="仿宋_GB2312" w:eastAsia="仿宋_GB2312" w:cs="仿宋_GB2312"/>
          <w:b w:val="0"/>
          <w:bCs w:val="0"/>
          <w:color w:val="auto"/>
          <w:highlight w:val="none"/>
        </w:rPr>
        <w:t>四、</w:t>
      </w:r>
      <w:r>
        <w:rPr>
          <w:rFonts w:hint="eastAsia" w:ascii="仿宋_GB2312" w:hAnsi="仿宋_GB2312" w:eastAsia="仿宋_GB2312" w:cs="仿宋_GB2312"/>
          <w:b w:val="0"/>
          <w:color w:val="auto"/>
          <w:highlight w:val="none"/>
        </w:rPr>
        <w:t>财</w:t>
      </w:r>
      <w:r>
        <w:rPr>
          <w:rStyle w:val="29"/>
          <w:rFonts w:hint="eastAsia" w:ascii="仿宋_GB2312" w:hAnsi="仿宋_GB2312" w:eastAsia="仿宋_GB2312" w:cs="仿宋_GB2312"/>
          <w:b w:val="0"/>
          <w:bCs w:val="0"/>
          <w:color w:val="auto"/>
          <w:highlight w:val="none"/>
        </w:rPr>
        <w:t>政拨款收入支出决算总表</w:t>
      </w:r>
      <w:bookmarkEnd w:id="74"/>
      <w:bookmarkEnd w:id="75"/>
    </w:p>
    <w:p>
      <w:pPr>
        <w:pStyle w:val="4"/>
        <w:rPr>
          <w:rStyle w:val="29"/>
          <w:rFonts w:hint="eastAsia" w:ascii="仿宋_GB2312" w:hAnsi="仿宋_GB2312" w:eastAsia="仿宋_GB2312" w:cs="仿宋_GB2312"/>
          <w:b w:val="0"/>
          <w:bCs w:val="0"/>
          <w:color w:val="auto"/>
          <w:highlight w:val="none"/>
        </w:rPr>
      </w:pPr>
      <w:bookmarkStart w:id="76" w:name="_Toc15396623"/>
      <w:bookmarkStart w:id="77" w:name="_Toc16453"/>
      <w:r>
        <w:rPr>
          <w:rStyle w:val="29"/>
          <w:rFonts w:hint="eastAsia" w:ascii="仿宋_GB2312" w:hAnsi="仿宋_GB2312" w:eastAsia="仿宋_GB2312" w:cs="仿宋_GB2312"/>
          <w:b w:val="0"/>
          <w:bCs w:val="0"/>
          <w:color w:val="auto"/>
          <w:highlight w:val="none"/>
        </w:rPr>
        <w:t>五、</w:t>
      </w:r>
      <w:r>
        <w:rPr>
          <w:rFonts w:hint="eastAsia" w:ascii="仿宋_GB2312" w:hAnsi="仿宋_GB2312" w:eastAsia="仿宋_GB2312" w:cs="仿宋_GB2312"/>
          <w:b w:val="0"/>
          <w:color w:val="auto"/>
          <w:highlight w:val="none"/>
        </w:rPr>
        <w:t>财</w:t>
      </w:r>
      <w:r>
        <w:rPr>
          <w:rStyle w:val="29"/>
          <w:rFonts w:hint="eastAsia" w:ascii="仿宋_GB2312" w:hAnsi="仿宋_GB2312" w:eastAsia="仿宋_GB2312" w:cs="仿宋_GB2312"/>
          <w:b w:val="0"/>
          <w:bCs w:val="0"/>
          <w:color w:val="auto"/>
          <w:highlight w:val="none"/>
        </w:rPr>
        <w:t>政拨款支出决算明细表</w:t>
      </w:r>
      <w:bookmarkEnd w:id="76"/>
      <w:bookmarkEnd w:id="77"/>
      <w:bookmarkStart w:id="78" w:name="_Toc15396624"/>
    </w:p>
    <w:p>
      <w:pPr>
        <w:pStyle w:val="4"/>
        <w:rPr>
          <w:rFonts w:hint="eastAsia" w:ascii="仿宋_GB2312" w:hAnsi="仿宋_GB2312" w:eastAsia="仿宋_GB2312" w:cs="仿宋_GB2312"/>
          <w:color w:val="auto"/>
          <w:highlight w:val="none"/>
        </w:rPr>
      </w:pPr>
      <w:bookmarkStart w:id="79" w:name="_Toc21347"/>
      <w:r>
        <w:rPr>
          <w:rStyle w:val="29"/>
          <w:rFonts w:hint="eastAsia" w:ascii="仿宋_GB2312" w:hAnsi="仿宋_GB2312" w:eastAsia="仿宋_GB2312" w:cs="仿宋_GB2312"/>
          <w:b w:val="0"/>
          <w:bCs w:val="0"/>
          <w:color w:val="auto"/>
          <w:highlight w:val="none"/>
        </w:rPr>
        <w:t>六、</w:t>
      </w:r>
      <w:r>
        <w:rPr>
          <w:rFonts w:hint="eastAsia" w:ascii="仿宋_GB2312" w:hAnsi="仿宋_GB2312" w:eastAsia="仿宋_GB2312" w:cs="仿宋_GB2312"/>
          <w:b w:val="0"/>
          <w:color w:val="auto"/>
          <w:highlight w:val="none"/>
        </w:rPr>
        <w:t>一</w:t>
      </w:r>
      <w:r>
        <w:rPr>
          <w:rStyle w:val="29"/>
          <w:rFonts w:hint="eastAsia" w:ascii="仿宋_GB2312" w:hAnsi="仿宋_GB2312" w:eastAsia="仿宋_GB2312" w:cs="仿宋_GB2312"/>
          <w:b w:val="0"/>
          <w:bCs w:val="0"/>
          <w:color w:val="auto"/>
          <w:highlight w:val="none"/>
        </w:rPr>
        <w:t>般公共预算财政拨款支出决算表</w:t>
      </w:r>
      <w:bookmarkEnd w:id="78"/>
      <w:bookmarkEnd w:id="79"/>
    </w:p>
    <w:p>
      <w:pPr>
        <w:pStyle w:val="4"/>
        <w:rPr>
          <w:rFonts w:hint="eastAsia" w:ascii="仿宋_GB2312" w:hAnsi="仿宋_GB2312" w:eastAsia="仿宋_GB2312" w:cs="仿宋_GB2312"/>
          <w:color w:val="auto"/>
          <w:highlight w:val="none"/>
        </w:rPr>
      </w:pPr>
      <w:bookmarkStart w:id="80" w:name="_Toc902"/>
      <w:bookmarkStart w:id="81" w:name="_Toc15396625"/>
      <w:r>
        <w:rPr>
          <w:rStyle w:val="29"/>
          <w:rFonts w:hint="eastAsia" w:ascii="仿宋_GB2312" w:hAnsi="仿宋_GB2312" w:eastAsia="仿宋_GB2312" w:cs="仿宋_GB2312"/>
          <w:b w:val="0"/>
          <w:bCs w:val="0"/>
          <w:color w:val="auto"/>
          <w:highlight w:val="none"/>
        </w:rPr>
        <w:t>七、</w:t>
      </w:r>
      <w:r>
        <w:rPr>
          <w:rFonts w:hint="eastAsia" w:ascii="仿宋_GB2312" w:hAnsi="仿宋_GB2312" w:eastAsia="仿宋_GB2312" w:cs="仿宋_GB2312"/>
          <w:b w:val="0"/>
          <w:color w:val="auto"/>
          <w:highlight w:val="none"/>
        </w:rPr>
        <w:t>一</w:t>
      </w:r>
      <w:r>
        <w:rPr>
          <w:rStyle w:val="29"/>
          <w:rFonts w:hint="eastAsia" w:ascii="仿宋_GB2312" w:hAnsi="仿宋_GB2312" w:eastAsia="仿宋_GB2312" w:cs="仿宋_GB2312"/>
          <w:b w:val="0"/>
          <w:bCs w:val="0"/>
          <w:color w:val="auto"/>
          <w:highlight w:val="none"/>
        </w:rPr>
        <w:t>般公共预算财政拨款支出决算明细表</w:t>
      </w:r>
      <w:bookmarkEnd w:id="80"/>
      <w:bookmarkEnd w:id="81"/>
    </w:p>
    <w:p>
      <w:pPr>
        <w:pStyle w:val="4"/>
        <w:rPr>
          <w:rFonts w:hint="eastAsia" w:ascii="仿宋_GB2312" w:hAnsi="仿宋_GB2312" w:eastAsia="仿宋_GB2312" w:cs="仿宋_GB2312"/>
          <w:color w:val="auto"/>
          <w:highlight w:val="none"/>
        </w:rPr>
      </w:pPr>
      <w:bookmarkStart w:id="82" w:name="_Toc13269"/>
      <w:bookmarkStart w:id="83" w:name="_Toc15396626"/>
      <w:r>
        <w:rPr>
          <w:rStyle w:val="29"/>
          <w:rFonts w:hint="eastAsia" w:ascii="仿宋_GB2312" w:hAnsi="仿宋_GB2312" w:eastAsia="仿宋_GB2312" w:cs="仿宋_GB2312"/>
          <w:b w:val="0"/>
          <w:bCs w:val="0"/>
          <w:color w:val="auto"/>
          <w:highlight w:val="none"/>
        </w:rPr>
        <w:t>八、</w:t>
      </w:r>
      <w:r>
        <w:rPr>
          <w:rFonts w:hint="eastAsia" w:ascii="仿宋_GB2312" w:hAnsi="仿宋_GB2312" w:eastAsia="仿宋_GB2312" w:cs="仿宋_GB2312"/>
          <w:b w:val="0"/>
          <w:color w:val="auto"/>
          <w:highlight w:val="none"/>
        </w:rPr>
        <w:t>一</w:t>
      </w:r>
      <w:r>
        <w:rPr>
          <w:rStyle w:val="29"/>
          <w:rFonts w:hint="eastAsia" w:ascii="仿宋_GB2312" w:hAnsi="仿宋_GB2312" w:eastAsia="仿宋_GB2312" w:cs="仿宋_GB2312"/>
          <w:b w:val="0"/>
          <w:bCs w:val="0"/>
          <w:color w:val="auto"/>
          <w:highlight w:val="none"/>
        </w:rPr>
        <w:t>般公共预算财政拨款基本支出决算表</w:t>
      </w:r>
      <w:bookmarkEnd w:id="82"/>
      <w:bookmarkEnd w:id="83"/>
    </w:p>
    <w:p>
      <w:pPr>
        <w:pStyle w:val="4"/>
        <w:rPr>
          <w:rFonts w:hint="eastAsia" w:ascii="仿宋_GB2312" w:hAnsi="仿宋_GB2312" w:eastAsia="仿宋_GB2312" w:cs="仿宋_GB2312"/>
          <w:color w:val="auto"/>
          <w:highlight w:val="none"/>
        </w:rPr>
      </w:pPr>
      <w:bookmarkStart w:id="84" w:name="_Toc15396627"/>
      <w:bookmarkStart w:id="85" w:name="_Toc10545"/>
      <w:r>
        <w:rPr>
          <w:rStyle w:val="29"/>
          <w:rFonts w:hint="eastAsia" w:ascii="仿宋_GB2312" w:hAnsi="仿宋_GB2312" w:eastAsia="仿宋_GB2312" w:cs="仿宋_GB2312"/>
          <w:b w:val="0"/>
          <w:bCs w:val="0"/>
          <w:color w:val="auto"/>
          <w:highlight w:val="none"/>
        </w:rPr>
        <w:t>九、</w:t>
      </w:r>
      <w:r>
        <w:rPr>
          <w:rFonts w:hint="eastAsia" w:ascii="仿宋_GB2312" w:hAnsi="仿宋_GB2312" w:eastAsia="仿宋_GB2312" w:cs="仿宋_GB2312"/>
          <w:b w:val="0"/>
          <w:color w:val="auto"/>
          <w:highlight w:val="none"/>
        </w:rPr>
        <w:t>一</w:t>
      </w:r>
      <w:r>
        <w:rPr>
          <w:rStyle w:val="29"/>
          <w:rFonts w:hint="eastAsia" w:ascii="仿宋_GB2312" w:hAnsi="仿宋_GB2312" w:eastAsia="仿宋_GB2312" w:cs="仿宋_GB2312"/>
          <w:b w:val="0"/>
          <w:bCs w:val="0"/>
          <w:color w:val="auto"/>
          <w:highlight w:val="none"/>
        </w:rPr>
        <w:t>般公共预算财政拨款项目支出决算表</w:t>
      </w:r>
      <w:bookmarkEnd w:id="84"/>
      <w:bookmarkEnd w:id="85"/>
    </w:p>
    <w:p>
      <w:pPr>
        <w:pStyle w:val="4"/>
        <w:rPr>
          <w:rFonts w:hint="eastAsia" w:ascii="仿宋_GB2312" w:hAnsi="仿宋_GB2312" w:eastAsia="仿宋_GB2312" w:cs="仿宋_GB2312"/>
          <w:color w:val="auto"/>
          <w:highlight w:val="none"/>
        </w:rPr>
      </w:pPr>
      <w:bookmarkStart w:id="86" w:name="_Toc15396628"/>
      <w:bookmarkStart w:id="87" w:name="_Toc7408"/>
      <w:r>
        <w:rPr>
          <w:rStyle w:val="29"/>
          <w:rFonts w:hint="eastAsia" w:ascii="仿宋_GB2312" w:hAnsi="仿宋_GB2312" w:eastAsia="仿宋_GB2312" w:cs="仿宋_GB2312"/>
          <w:b w:val="0"/>
          <w:bCs w:val="0"/>
          <w:color w:val="auto"/>
          <w:highlight w:val="none"/>
        </w:rPr>
        <w:t>十、</w:t>
      </w:r>
      <w:bookmarkEnd w:id="86"/>
      <w:r>
        <w:rPr>
          <w:rFonts w:hint="eastAsia" w:ascii="仿宋_GB2312" w:hAnsi="仿宋_GB2312" w:eastAsia="仿宋_GB2312" w:cs="仿宋_GB2312"/>
          <w:b w:val="0"/>
          <w:color w:val="auto"/>
          <w:highlight w:val="none"/>
        </w:rPr>
        <w:t>政</w:t>
      </w:r>
      <w:r>
        <w:rPr>
          <w:rStyle w:val="29"/>
          <w:rFonts w:hint="eastAsia" w:ascii="仿宋_GB2312" w:hAnsi="仿宋_GB2312" w:eastAsia="仿宋_GB2312" w:cs="仿宋_GB2312"/>
          <w:b w:val="0"/>
          <w:bCs w:val="0"/>
          <w:color w:val="auto"/>
          <w:highlight w:val="none"/>
        </w:rPr>
        <w:t>府性基金预算财政拨款收入支出决算表</w:t>
      </w:r>
      <w:bookmarkEnd w:id="87"/>
    </w:p>
    <w:p>
      <w:pPr>
        <w:pStyle w:val="4"/>
        <w:rPr>
          <w:rFonts w:hint="eastAsia" w:ascii="仿宋_GB2312" w:hAnsi="仿宋_GB2312" w:eastAsia="仿宋_GB2312" w:cs="仿宋_GB2312"/>
          <w:color w:val="auto"/>
          <w:highlight w:val="none"/>
        </w:rPr>
      </w:pPr>
      <w:bookmarkStart w:id="88" w:name="_Toc15396629"/>
      <w:bookmarkStart w:id="89" w:name="_Toc21038"/>
      <w:r>
        <w:rPr>
          <w:rStyle w:val="29"/>
          <w:rFonts w:hint="eastAsia" w:ascii="仿宋_GB2312" w:hAnsi="仿宋_GB2312" w:eastAsia="仿宋_GB2312" w:cs="仿宋_GB2312"/>
          <w:b w:val="0"/>
          <w:bCs w:val="0"/>
          <w:color w:val="auto"/>
          <w:highlight w:val="none"/>
        </w:rPr>
        <w:t>十一、</w:t>
      </w:r>
      <w:bookmarkEnd w:id="88"/>
      <w:r>
        <w:rPr>
          <w:rFonts w:hint="eastAsia" w:ascii="仿宋_GB2312" w:hAnsi="仿宋_GB2312" w:eastAsia="仿宋_GB2312" w:cs="仿宋_GB2312"/>
          <w:b w:val="0"/>
          <w:color w:val="auto"/>
          <w:highlight w:val="none"/>
        </w:rPr>
        <w:t>国</w:t>
      </w:r>
      <w:r>
        <w:rPr>
          <w:rStyle w:val="29"/>
          <w:rFonts w:hint="eastAsia" w:ascii="仿宋_GB2312" w:hAnsi="仿宋_GB2312" w:eastAsia="仿宋_GB2312" w:cs="仿宋_GB2312"/>
          <w:b w:val="0"/>
          <w:bCs w:val="0"/>
          <w:color w:val="auto"/>
          <w:highlight w:val="none"/>
        </w:rPr>
        <w:t>有资本经营预算</w:t>
      </w:r>
      <w:r>
        <w:rPr>
          <w:rStyle w:val="29"/>
          <w:rFonts w:hint="eastAsia" w:ascii="仿宋_GB2312" w:hAnsi="仿宋_GB2312" w:eastAsia="仿宋_GB2312" w:cs="仿宋_GB2312"/>
          <w:b w:val="0"/>
          <w:bCs w:val="0"/>
          <w:color w:val="auto"/>
          <w:highlight w:val="none"/>
          <w:lang w:eastAsia="zh-CN"/>
        </w:rPr>
        <w:t>财政拨款收入</w:t>
      </w:r>
      <w:r>
        <w:rPr>
          <w:rStyle w:val="29"/>
          <w:rFonts w:hint="eastAsia" w:ascii="仿宋_GB2312" w:hAnsi="仿宋_GB2312" w:eastAsia="仿宋_GB2312" w:cs="仿宋_GB2312"/>
          <w:b w:val="0"/>
          <w:bCs w:val="0"/>
          <w:color w:val="auto"/>
          <w:highlight w:val="none"/>
        </w:rPr>
        <w:t>支出决算表</w:t>
      </w:r>
      <w:bookmarkEnd w:id="89"/>
    </w:p>
    <w:p>
      <w:pPr>
        <w:pStyle w:val="4"/>
        <w:rPr>
          <w:rFonts w:hint="eastAsia" w:ascii="仿宋_GB2312" w:hAnsi="仿宋_GB2312" w:eastAsia="仿宋_GB2312" w:cs="仿宋_GB2312"/>
          <w:color w:val="auto"/>
          <w:highlight w:val="none"/>
        </w:rPr>
      </w:pPr>
      <w:bookmarkStart w:id="90" w:name="_Toc15396630"/>
      <w:bookmarkStart w:id="91" w:name="_Toc7479"/>
      <w:r>
        <w:rPr>
          <w:rStyle w:val="29"/>
          <w:rFonts w:hint="eastAsia" w:ascii="仿宋_GB2312" w:hAnsi="仿宋_GB2312" w:eastAsia="仿宋_GB2312" w:cs="仿宋_GB2312"/>
          <w:b w:val="0"/>
          <w:bCs w:val="0"/>
          <w:color w:val="auto"/>
          <w:highlight w:val="none"/>
        </w:rPr>
        <w:t>十二、</w:t>
      </w:r>
      <w:bookmarkEnd w:id="90"/>
      <w:r>
        <w:rPr>
          <w:rStyle w:val="29"/>
          <w:rFonts w:hint="eastAsia" w:ascii="仿宋_GB2312" w:hAnsi="仿宋_GB2312" w:eastAsia="仿宋_GB2312" w:cs="仿宋_GB2312"/>
          <w:b w:val="0"/>
          <w:bCs w:val="0"/>
          <w:color w:val="auto"/>
          <w:highlight w:val="none"/>
          <w:lang w:eastAsia="zh-CN"/>
        </w:rPr>
        <w:t>国有资本经营预算财政拨款支出决算表</w:t>
      </w:r>
      <w:bookmarkEnd w:id="91"/>
    </w:p>
    <w:p>
      <w:pPr>
        <w:pStyle w:val="4"/>
        <w:rPr>
          <w:rFonts w:hint="eastAsia" w:hAnsi="Times New Roman" w:cs="Times New Roman"/>
          <w:sz w:val="32"/>
          <w:szCs w:val="32"/>
          <w:highlight w:val="none"/>
          <w:lang w:val="en-US" w:eastAsia="zh-CN"/>
        </w:rPr>
      </w:pPr>
      <w:bookmarkStart w:id="92" w:name="_Toc15396631"/>
      <w:bookmarkStart w:id="93" w:name="_Toc26431"/>
      <w:r>
        <w:rPr>
          <w:rStyle w:val="29"/>
          <w:rFonts w:hint="eastAsia" w:ascii="仿宋_GB2312" w:hAnsi="仿宋_GB2312" w:eastAsia="仿宋_GB2312" w:cs="仿宋_GB2312"/>
          <w:b w:val="0"/>
          <w:bCs w:val="0"/>
          <w:color w:val="auto"/>
          <w:highlight w:val="none"/>
        </w:rPr>
        <w:t>十三、</w:t>
      </w:r>
      <w:bookmarkEnd w:id="92"/>
      <w:r>
        <w:rPr>
          <w:rStyle w:val="29"/>
          <w:rFonts w:hint="eastAsia" w:ascii="仿宋_GB2312" w:hAnsi="仿宋_GB2312" w:eastAsia="仿宋_GB2312" w:cs="仿宋_GB2312"/>
          <w:b w:val="0"/>
          <w:bCs w:val="0"/>
          <w:color w:val="auto"/>
          <w:highlight w:val="none"/>
          <w:lang w:eastAsia="zh-CN"/>
        </w:rPr>
        <w:t>财政拨款“三公”经费支出决算表</w:t>
      </w:r>
      <w:bookmarkEnd w:id="93"/>
    </w:p>
    <w:p>
      <w:pPr>
        <w:outlineLvl w:val="1"/>
        <w:rPr>
          <w:rFonts w:ascii="仿宋" w:hAnsi="仿宋" w:eastAsia="仿宋"/>
          <w:sz w:val="32"/>
          <w:szCs w:val="32"/>
        </w:rPr>
      </w:pPr>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3795"/>
                          </w:sdtPr>
                          <w:sdtContent>
                            <w:p>
                              <w:pPr>
                                <w:pStyle w:val="15"/>
                                <w:jc w:val="center"/>
                              </w:pPr>
                              <w:r>
                                <w:fldChar w:fldCharType="begin"/>
                              </w:r>
                              <w:r>
                                <w:instrText xml:space="preserve">PAGE   \* MERGEFORMAT</w:instrText>
                              </w:r>
                              <w:r>
                                <w:fldChar w:fldCharType="separate"/>
                              </w:r>
                              <w:r>
                                <w:rPr>
                                  <w:lang w:val="zh-CN"/>
                                </w:rPr>
                                <w:t>23</w:t>
                              </w:r>
                              <w:r>
                                <w:fldChar w:fldCharType="end"/>
                              </w:r>
                            </w:p>
                          </w:sdtContent>
                        </w:sdt>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sdt>
                    <w:sdtPr>
                      <w:id w:val="147453795"/>
                    </w:sdtPr>
                    <w:sdtContent>
                      <w:p>
                        <w:pPr>
                          <w:pStyle w:val="15"/>
                          <w:jc w:val="center"/>
                        </w:pPr>
                        <w:r>
                          <w:fldChar w:fldCharType="begin"/>
                        </w:r>
                        <w:r>
                          <w:instrText xml:space="preserve">PAGE   \* MERGEFORMAT</w:instrText>
                        </w:r>
                        <w:r>
                          <w:fldChar w:fldCharType="separate"/>
                        </w:r>
                        <w:r>
                          <w:rPr>
                            <w:lang w:val="zh-CN"/>
                          </w:rPr>
                          <w:t>23</w:t>
                        </w:r>
                        <w:r>
                          <w:fldChar w:fldCharType="end"/>
                        </w:r>
                      </w:p>
                    </w:sdtContent>
                  </w:sdt>
                  <w:p/>
                </w:txbxContent>
              </v:textbox>
            </v:shape>
          </w:pict>
        </mc:Fallback>
      </mc:AlternateContent>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nWxrOFQIAABkEAAAOAAAAAAAAAAEAIAAAADUBAABkcnMvZTJvRG9jLnhtbFBLBQYAAAAABgAG&#10;AFkBAAC8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871060"/>
    <w:multiLevelType w:val="singleLevel"/>
    <w:tmpl w:val="A4871060"/>
    <w:lvl w:ilvl="0" w:tentative="0">
      <w:start w:val="2"/>
      <w:numFmt w:val="chineseCounting"/>
      <w:suff w:val="nothing"/>
      <w:lvlText w:val="（%1）"/>
      <w:lvlJc w:val="left"/>
      <w:rPr>
        <w:rFonts w:hint="eastAsia"/>
      </w:rPr>
    </w:lvl>
  </w:abstractNum>
  <w:abstractNum w:abstractNumId="1">
    <w:nsid w:val="B1FA5FC4"/>
    <w:multiLevelType w:val="singleLevel"/>
    <w:tmpl w:val="B1FA5FC4"/>
    <w:lvl w:ilvl="0" w:tentative="0">
      <w:start w:val="2"/>
      <w:numFmt w:val="chineseCounting"/>
      <w:suff w:val="nothing"/>
      <w:lvlText w:val="（%1）"/>
      <w:lvlJc w:val="left"/>
      <w:rPr>
        <w:rFonts w:hint="eastAsia"/>
      </w:rPr>
    </w:lvl>
  </w:abstractNum>
  <w:abstractNum w:abstractNumId="2">
    <w:nsid w:val="C2B8D771"/>
    <w:multiLevelType w:val="singleLevel"/>
    <w:tmpl w:val="C2B8D771"/>
    <w:lvl w:ilvl="0" w:tentative="0">
      <w:start w:val="1"/>
      <w:numFmt w:val="decimal"/>
      <w:suff w:val="nothing"/>
      <w:lvlText w:val="%1．"/>
      <w:lvlJc w:val="left"/>
      <w:pPr>
        <w:ind w:left="0" w:firstLine="397"/>
      </w:pPr>
      <w:rPr>
        <w:rFonts w:hint="default"/>
      </w:rPr>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5B0266A"/>
    <w:multiLevelType w:val="singleLevel"/>
    <w:tmpl w:val="15B0266A"/>
    <w:lvl w:ilvl="0" w:tentative="0">
      <w:start w:val="2"/>
      <w:numFmt w:val="chineseCounting"/>
      <w:suff w:val="nothing"/>
      <w:lvlText w:val="（%1）"/>
      <w:lvlJc w:val="left"/>
      <w:rPr>
        <w:rFonts w:hint="eastAsia"/>
      </w:rPr>
    </w:lvl>
  </w:abstractNum>
  <w:abstractNum w:abstractNumId="6">
    <w:nsid w:val="55917324"/>
    <w:multiLevelType w:val="multilevel"/>
    <w:tmpl w:val="55917324"/>
    <w:lvl w:ilvl="0" w:tentative="0">
      <w:start w:val="1"/>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55A918D"/>
    <w:multiLevelType w:val="singleLevel"/>
    <w:tmpl w:val="755A918D"/>
    <w:lvl w:ilvl="0" w:tentative="0">
      <w:start w:val="3"/>
      <w:numFmt w:val="chineseCounting"/>
      <w:suff w:val="nothing"/>
      <w:lvlText w:val="（%1）"/>
      <w:lvlJc w:val="left"/>
      <w:rPr>
        <w:rFonts w:hint="eastAsia"/>
      </w:rPr>
    </w:lvl>
  </w:abstractNum>
  <w:num w:numId="1">
    <w:abstractNumId w:val="6"/>
  </w:num>
  <w:num w:numId="2">
    <w:abstractNumId w:val="4"/>
  </w:num>
  <w:num w:numId="3">
    <w:abstractNumId w:val="3"/>
  </w:num>
  <w:num w:numId="4">
    <w:abstractNumId w:val="7"/>
  </w:num>
  <w:num w:numId="5">
    <w:abstractNumId w:val="2"/>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2ZGI3ODE4OGRjN2ZjMzIzOTM1YmEyOThlNjFiYTYifQ=="/>
  </w:docVars>
  <w:rsids>
    <w:rsidRoot w:val="00F1361C"/>
    <w:rsid w:val="00014A1C"/>
    <w:rsid w:val="00014DDC"/>
    <w:rsid w:val="000222C6"/>
    <w:rsid w:val="0002549F"/>
    <w:rsid w:val="00035392"/>
    <w:rsid w:val="000468DB"/>
    <w:rsid w:val="0006487A"/>
    <w:rsid w:val="00065F8F"/>
    <w:rsid w:val="00070A43"/>
    <w:rsid w:val="000768F2"/>
    <w:rsid w:val="00082EAC"/>
    <w:rsid w:val="0009184B"/>
    <w:rsid w:val="00094236"/>
    <w:rsid w:val="0009593C"/>
    <w:rsid w:val="000966FA"/>
    <w:rsid w:val="00097322"/>
    <w:rsid w:val="00097358"/>
    <w:rsid w:val="000A6A92"/>
    <w:rsid w:val="000B047F"/>
    <w:rsid w:val="000B5923"/>
    <w:rsid w:val="000B5A48"/>
    <w:rsid w:val="000B6FF3"/>
    <w:rsid w:val="000C3467"/>
    <w:rsid w:val="000C3CA6"/>
    <w:rsid w:val="000D1267"/>
    <w:rsid w:val="000D1D50"/>
    <w:rsid w:val="000D5782"/>
    <w:rsid w:val="000E001D"/>
    <w:rsid w:val="000E6613"/>
    <w:rsid w:val="000E7119"/>
    <w:rsid w:val="001109C1"/>
    <w:rsid w:val="00114E9B"/>
    <w:rsid w:val="00142216"/>
    <w:rsid w:val="00144D6A"/>
    <w:rsid w:val="0014729F"/>
    <w:rsid w:val="00157BAB"/>
    <w:rsid w:val="00164260"/>
    <w:rsid w:val="001654D1"/>
    <w:rsid w:val="001730E5"/>
    <w:rsid w:val="00174518"/>
    <w:rsid w:val="0018106D"/>
    <w:rsid w:val="001877A7"/>
    <w:rsid w:val="00191536"/>
    <w:rsid w:val="00196687"/>
    <w:rsid w:val="001C0962"/>
    <w:rsid w:val="001C2738"/>
    <w:rsid w:val="001C61F1"/>
    <w:rsid w:val="001D7531"/>
    <w:rsid w:val="001E737D"/>
    <w:rsid w:val="001F0592"/>
    <w:rsid w:val="001F22C0"/>
    <w:rsid w:val="001F6419"/>
    <w:rsid w:val="001F67EF"/>
    <w:rsid w:val="001F7506"/>
    <w:rsid w:val="002006CD"/>
    <w:rsid w:val="00202B36"/>
    <w:rsid w:val="00204B7A"/>
    <w:rsid w:val="00204CDE"/>
    <w:rsid w:val="0021101A"/>
    <w:rsid w:val="00220536"/>
    <w:rsid w:val="00235629"/>
    <w:rsid w:val="00240D01"/>
    <w:rsid w:val="0025528A"/>
    <w:rsid w:val="00260289"/>
    <w:rsid w:val="00260C38"/>
    <w:rsid w:val="002616C0"/>
    <w:rsid w:val="002643DB"/>
    <w:rsid w:val="00265372"/>
    <w:rsid w:val="00266154"/>
    <w:rsid w:val="002662AA"/>
    <w:rsid w:val="00280496"/>
    <w:rsid w:val="002835FC"/>
    <w:rsid w:val="00283D47"/>
    <w:rsid w:val="00294DC9"/>
    <w:rsid w:val="00295495"/>
    <w:rsid w:val="002A31DE"/>
    <w:rsid w:val="002A62F7"/>
    <w:rsid w:val="002B1EFF"/>
    <w:rsid w:val="002B2613"/>
    <w:rsid w:val="002C1468"/>
    <w:rsid w:val="002C41B8"/>
    <w:rsid w:val="002D6D05"/>
    <w:rsid w:val="002F1818"/>
    <w:rsid w:val="002F5109"/>
    <w:rsid w:val="002F567B"/>
    <w:rsid w:val="003216A9"/>
    <w:rsid w:val="00335A74"/>
    <w:rsid w:val="00350560"/>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17D11"/>
    <w:rsid w:val="00420B47"/>
    <w:rsid w:val="004223DE"/>
    <w:rsid w:val="00434489"/>
    <w:rsid w:val="00437085"/>
    <w:rsid w:val="00443880"/>
    <w:rsid w:val="004464F4"/>
    <w:rsid w:val="00447329"/>
    <w:rsid w:val="00471401"/>
    <w:rsid w:val="00473F31"/>
    <w:rsid w:val="0048263A"/>
    <w:rsid w:val="004826A2"/>
    <w:rsid w:val="00487E5D"/>
    <w:rsid w:val="004A711F"/>
    <w:rsid w:val="004A71BD"/>
    <w:rsid w:val="004B199D"/>
    <w:rsid w:val="004B4690"/>
    <w:rsid w:val="004E0A2D"/>
    <w:rsid w:val="004E206B"/>
    <w:rsid w:val="004E3607"/>
    <w:rsid w:val="004E6DF7"/>
    <w:rsid w:val="004F0FBD"/>
    <w:rsid w:val="005004F7"/>
    <w:rsid w:val="00505A47"/>
    <w:rsid w:val="00512FDA"/>
    <w:rsid w:val="00520DA0"/>
    <w:rsid w:val="005664BB"/>
    <w:rsid w:val="00566FFA"/>
    <w:rsid w:val="00571834"/>
    <w:rsid w:val="0057481D"/>
    <w:rsid w:val="005840BA"/>
    <w:rsid w:val="0058486E"/>
    <w:rsid w:val="00585B33"/>
    <w:rsid w:val="0059014D"/>
    <w:rsid w:val="005A09FD"/>
    <w:rsid w:val="005A7967"/>
    <w:rsid w:val="005A7F09"/>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0250"/>
    <w:rsid w:val="006B2422"/>
    <w:rsid w:val="006B2B9A"/>
    <w:rsid w:val="006C1937"/>
    <w:rsid w:val="006F020C"/>
    <w:rsid w:val="007127B7"/>
    <w:rsid w:val="00716922"/>
    <w:rsid w:val="0071798E"/>
    <w:rsid w:val="007416B6"/>
    <w:rsid w:val="0074516B"/>
    <w:rsid w:val="00746F48"/>
    <w:rsid w:val="0075404D"/>
    <w:rsid w:val="0076182A"/>
    <w:rsid w:val="00761FAF"/>
    <w:rsid w:val="00762406"/>
    <w:rsid w:val="0076493D"/>
    <w:rsid w:val="00767B7E"/>
    <w:rsid w:val="007770C3"/>
    <w:rsid w:val="00784D24"/>
    <w:rsid w:val="00785FBA"/>
    <w:rsid w:val="00786E4A"/>
    <w:rsid w:val="007875EB"/>
    <w:rsid w:val="0079426B"/>
    <w:rsid w:val="007D1682"/>
    <w:rsid w:val="007D312A"/>
    <w:rsid w:val="007D3F19"/>
    <w:rsid w:val="007D5BA9"/>
    <w:rsid w:val="007E23B0"/>
    <w:rsid w:val="007E23E5"/>
    <w:rsid w:val="007E6A82"/>
    <w:rsid w:val="007F1991"/>
    <w:rsid w:val="007F2C2F"/>
    <w:rsid w:val="007F55FC"/>
    <w:rsid w:val="007F5665"/>
    <w:rsid w:val="007F7385"/>
    <w:rsid w:val="00800112"/>
    <w:rsid w:val="00813348"/>
    <w:rsid w:val="00821E13"/>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95DB1"/>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772"/>
    <w:rsid w:val="00971997"/>
    <w:rsid w:val="00971FFC"/>
    <w:rsid w:val="0098660A"/>
    <w:rsid w:val="009931C3"/>
    <w:rsid w:val="009A20D1"/>
    <w:rsid w:val="009B2C43"/>
    <w:rsid w:val="009B4EAE"/>
    <w:rsid w:val="009B7573"/>
    <w:rsid w:val="009C22F4"/>
    <w:rsid w:val="009C2A4B"/>
    <w:rsid w:val="009C2E98"/>
    <w:rsid w:val="009C72B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477B1"/>
    <w:rsid w:val="00A56DF2"/>
    <w:rsid w:val="00A56E6E"/>
    <w:rsid w:val="00A67AB5"/>
    <w:rsid w:val="00A733B2"/>
    <w:rsid w:val="00A741C2"/>
    <w:rsid w:val="00A74A9E"/>
    <w:rsid w:val="00A91760"/>
    <w:rsid w:val="00A93B00"/>
    <w:rsid w:val="00A93C21"/>
    <w:rsid w:val="00AB1022"/>
    <w:rsid w:val="00AB64C9"/>
    <w:rsid w:val="00AC2E50"/>
    <w:rsid w:val="00AC3C6A"/>
    <w:rsid w:val="00AD5620"/>
    <w:rsid w:val="00AD656B"/>
    <w:rsid w:val="00AD709A"/>
    <w:rsid w:val="00AD7C1B"/>
    <w:rsid w:val="00AE16BA"/>
    <w:rsid w:val="00AE1EBE"/>
    <w:rsid w:val="00AE7BDC"/>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562D"/>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15B35"/>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0789"/>
    <w:rsid w:val="00CD1E3F"/>
    <w:rsid w:val="00CD5F4D"/>
    <w:rsid w:val="00CE0085"/>
    <w:rsid w:val="00CE44F6"/>
    <w:rsid w:val="00CE49DA"/>
    <w:rsid w:val="00CE7B61"/>
    <w:rsid w:val="00D00095"/>
    <w:rsid w:val="00D02EC8"/>
    <w:rsid w:val="00D114F0"/>
    <w:rsid w:val="00D14F50"/>
    <w:rsid w:val="00D20620"/>
    <w:rsid w:val="00D254F7"/>
    <w:rsid w:val="00D26091"/>
    <w:rsid w:val="00D2685C"/>
    <w:rsid w:val="00D34E7C"/>
    <w:rsid w:val="00D35489"/>
    <w:rsid w:val="00D36AFE"/>
    <w:rsid w:val="00D40D2D"/>
    <w:rsid w:val="00D51276"/>
    <w:rsid w:val="00D7035F"/>
    <w:rsid w:val="00D950A1"/>
    <w:rsid w:val="00DA61E5"/>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6510F"/>
    <w:rsid w:val="00E82267"/>
    <w:rsid w:val="00E838B6"/>
    <w:rsid w:val="00E853CE"/>
    <w:rsid w:val="00E867B6"/>
    <w:rsid w:val="00EA010F"/>
    <w:rsid w:val="00EA2F2B"/>
    <w:rsid w:val="00EB0FAE"/>
    <w:rsid w:val="00ED1B63"/>
    <w:rsid w:val="00ED3C1F"/>
    <w:rsid w:val="00ED4085"/>
    <w:rsid w:val="00ED420E"/>
    <w:rsid w:val="00ED6FBE"/>
    <w:rsid w:val="00EE2F57"/>
    <w:rsid w:val="00EE705F"/>
    <w:rsid w:val="00EF052E"/>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E2848"/>
    <w:rsid w:val="00FF1E02"/>
    <w:rsid w:val="00FF30B4"/>
    <w:rsid w:val="013719A3"/>
    <w:rsid w:val="015975B8"/>
    <w:rsid w:val="02FEBE30"/>
    <w:rsid w:val="036F8141"/>
    <w:rsid w:val="066E0107"/>
    <w:rsid w:val="07996F6E"/>
    <w:rsid w:val="07DFD8BA"/>
    <w:rsid w:val="0A2032A3"/>
    <w:rsid w:val="0B7FD1FF"/>
    <w:rsid w:val="0BB5A1FC"/>
    <w:rsid w:val="0D35B1ED"/>
    <w:rsid w:val="0E7ED1F5"/>
    <w:rsid w:val="0F98263C"/>
    <w:rsid w:val="101860EC"/>
    <w:rsid w:val="10C055FF"/>
    <w:rsid w:val="118107EC"/>
    <w:rsid w:val="138C1B03"/>
    <w:rsid w:val="13D50BC4"/>
    <w:rsid w:val="13F5616D"/>
    <w:rsid w:val="16BB723D"/>
    <w:rsid w:val="1704486E"/>
    <w:rsid w:val="17D6C491"/>
    <w:rsid w:val="17F9714D"/>
    <w:rsid w:val="1918F934"/>
    <w:rsid w:val="19F7450A"/>
    <w:rsid w:val="1A8A6B8B"/>
    <w:rsid w:val="1BE8440E"/>
    <w:rsid w:val="1D155CEE"/>
    <w:rsid w:val="1DFBC4B3"/>
    <w:rsid w:val="1E740ACF"/>
    <w:rsid w:val="1F19C781"/>
    <w:rsid w:val="1F33FCE5"/>
    <w:rsid w:val="1F7F7398"/>
    <w:rsid w:val="1FA7517A"/>
    <w:rsid w:val="1FD2DB6F"/>
    <w:rsid w:val="1FF35744"/>
    <w:rsid w:val="1FF6BC77"/>
    <w:rsid w:val="1FF9236D"/>
    <w:rsid w:val="2333840E"/>
    <w:rsid w:val="23860B96"/>
    <w:rsid w:val="240371BF"/>
    <w:rsid w:val="25522862"/>
    <w:rsid w:val="257C638F"/>
    <w:rsid w:val="25811610"/>
    <w:rsid w:val="25827E45"/>
    <w:rsid w:val="26CE7198"/>
    <w:rsid w:val="28955664"/>
    <w:rsid w:val="28CB32E0"/>
    <w:rsid w:val="29FD04D3"/>
    <w:rsid w:val="2BF7F30D"/>
    <w:rsid w:val="2BFF7BC6"/>
    <w:rsid w:val="2C8A61B5"/>
    <w:rsid w:val="2CD59C95"/>
    <w:rsid w:val="2DD00AAE"/>
    <w:rsid w:val="2DF04E50"/>
    <w:rsid w:val="2EFD05E5"/>
    <w:rsid w:val="2F040D46"/>
    <w:rsid w:val="2F4F95CE"/>
    <w:rsid w:val="2F7AA40F"/>
    <w:rsid w:val="2FACAFDD"/>
    <w:rsid w:val="2FAE5751"/>
    <w:rsid w:val="2FB1A395"/>
    <w:rsid w:val="2FCF0B76"/>
    <w:rsid w:val="2FD9A7D8"/>
    <w:rsid w:val="2FDD2571"/>
    <w:rsid w:val="319F7F4E"/>
    <w:rsid w:val="3304709D"/>
    <w:rsid w:val="35E43501"/>
    <w:rsid w:val="36AA5135"/>
    <w:rsid w:val="36BE0DA7"/>
    <w:rsid w:val="376B6AA6"/>
    <w:rsid w:val="376D39B2"/>
    <w:rsid w:val="37E16F03"/>
    <w:rsid w:val="37F53A3B"/>
    <w:rsid w:val="38D469F0"/>
    <w:rsid w:val="38F78389"/>
    <w:rsid w:val="397BAF1F"/>
    <w:rsid w:val="39E7B272"/>
    <w:rsid w:val="39F7642F"/>
    <w:rsid w:val="39FF7B37"/>
    <w:rsid w:val="3AB79AF3"/>
    <w:rsid w:val="3AFDCB77"/>
    <w:rsid w:val="3B7EF35A"/>
    <w:rsid w:val="3B9FDB6C"/>
    <w:rsid w:val="3BF5BC2F"/>
    <w:rsid w:val="3BF7C23A"/>
    <w:rsid w:val="3BFF223E"/>
    <w:rsid w:val="3C5E0F0B"/>
    <w:rsid w:val="3C6EC0A1"/>
    <w:rsid w:val="3CDB0824"/>
    <w:rsid w:val="3CEBA265"/>
    <w:rsid w:val="3CFF00C2"/>
    <w:rsid w:val="3D6A7F9F"/>
    <w:rsid w:val="3D7E7F4D"/>
    <w:rsid w:val="3D98207C"/>
    <w:rsid w:val="3D9CF30A"/>
    <w:rsid w:val="3DFF5A3E"/>
    <w:rsid w:val="3E78745D"/>
    <w:rsid w:val="3E8E27E2"/>
    <w:rsid w:val="3EEE77E9"/>
    <w:rsid w:val="3EF3ED40"/>
    <w:rsid w:val="3EFA4985"/>
    <w:rsid w:val="3F394AF5"/>
    <w:rsid w:val="3FBE5714"/>
    <w:rsid w:val="3FDD8615"/>
    <w:rsid w:val="3FDFB2FF"/>
    <w:rsid w:val="3FF4CAE0"/>
    <w:rsid w:val="3FF75FAF"/>
    <w:rsid w:val="3FF7B227"/>
    <w:rsid w:val="40DB7A67"/>
    <w:rsid w:val="414D1610"/>
    <w:rsid w:val="43432549"/>
    <w:rsid w:val="44E268DA"/>
    <w:rsid w:val="457F4F6B"/>
    <w:rsid w:val="458E6C26"/>
    <w:rsid w:val="4737FB58"/>
    <w:rsid w:val="47ECCB02"/>
    <w:rsid w:val="47FA6A3F"/>
    <w:rsid w:val="48D13A6A"/>
    <w:rsid w:val="49D7AE48"/>
    <w:rsid w:val="4A3F6C7E"/>
    <w:rsid w:val="4A627F82"/>
    <w:rsid w:val="4B0E749A"/>
    <w:rsid w:val="4B4F25DA"/>
    <w:rsid w:val="4BBB4781"/>
    <w:rsid w:val="4BD709A5"/>
    <w:rsid w:val="4BDD9BFF"/>
    <w:rsid w:val="4BE068DB"/>
    <w:rsid w:val="4D577224"/>
    <w:rsid w:val="4DBF1CEB"/>
    <w:rsid w:val="4DBF6A6B"/>
    <w:rsid w:val="4DBF7235"/>
    <w:rsid w:val="4DF6A672"/>
    <w:rsid w:val="4E287826"/>
    <w:rsid w:val="4EAB630A"/>
    <w:rsid w:val="4ECE2238"/>
    <w:rsid w:val="4F7EA413"/>
    <w:rsid w:val="4FAB812F"/>
    <w:rsid w:val="4FE9BD67"/>
    <w:rsid w:val="4FEE4C07"/>
    <w:rsid w:val="4FF94027"/>
    <w:rsid w:val="4FFB052F"/>
    <w:rsid w:val="4FFFDF19"/>
    <w:rsid w:val="52601F5F"/>
    <w:rsid w:val="537E6D0A"/>
    <w:rsid w:val="53AB6B88"/>
    <w:rsid w:val="53B82FE0"/>
    <w:rsid w:val="53F74C96"/>
    <w:rsid w:val="5583522D"/>
    <w:rsid w:val="57BD3DD4"/>
    <w:rsid w:val="57F9CD1E"/>
    <w:rsid w:val="5AF92295"/>
    <w:rsid w:val="5AF9D8E9"/>
    <w:rsid w:val="5B4E66FC"/>
    <w:rsid w:val="5BDD38BD"/>
    <w:rsid w:val="5BDD79E6"/>
    <w:rsid w:val="5BEFC772"/>
    <w:rsid w:val="5BFF3936"/>
    <w:rsid w:val="5BFF5DFC"/>
    <w:rsid w:val="5C6B6886"/>
    <w:rsid w:val="5CD71FC4"/>
    <w:rsid w:val="5D1F11B5"/>
    <w:rsid w:val="5D3647F9"/>
    <w:rsid w:val="5DA644D4"/>
    <w:rsid w:val="5DAE1B18"/>
    <w:rsid w:val="5DE7D9E5"/>
    <w:rsid w:val="5ECEC941"/>
    <w:rsid w:val="5EFC6779"/>
    <w:rsid w:val="5EFF8FC6"/>
    <w:rsid w:val="5F5BA39A"/>
    <w:rsid w:val="5F7B554B"/>
    <w:rsid w:val="5F7D3B79"/>
    <w:rsid w:val="5F7E4C67"/>
    <w:rsid w:val="5F7F4610"/>
    <w:rsid w:val="5FA23965"/>
    <w:rsid w:val="5FBF9FF3"/>
    <w:rsid w:val="5FCD4E2C"/>
    <w:rsid w:val="5FE74EA6"/>
    <w:rsid w:val="5FEF394A"/>
    <w:rsid w:val="5FF67715"/>
    <w:rsid w:val="617B6E83"/>
    <w:rsid w:val="619A2136"/>
    <w:rsid w:val="61CA71D5"/>
    <w:rsid w:val="627EE9EA"/>
    <w:rsid w:val="62B25D7D"/>
    <w:rsid w:val="63B23AA5"/>
    <w:rsid w:val="647F5392"/>
    <w:rsid w:val="64BC2538"/>
    <w:rsid w:val="64E322C4"/>
    <w:rsid w:val="65FB93B9"/>
    <w:rsid w:val="6633C463"/>
    <w:rsid w:val="66AB3F0A"/>
    <w:rsid w:val="67D55B77"/>
    <w:rsid w:val="67EE7F84"/>
    <w:rsid w:val="67F53CE1"/>
    <w:rsid w:val="686F5F53"/>
    <w:rsid w:val="69EE7666"/>
    <w:rsid w:val="6AFFCEAF"/>
    <w:rsid w:val="6B96E9E6"/>
    <w:rsid w:val="6BCE57B5"/>
    <w:rsid w:val="6BE0340C"/>
    <w:rsid w:val="6BFEA4DB"/>
    <w:rsid w:val="6BFFB662"/>
    <w:rsid w:val="6C4A05C8"/>
    <w:rsid w:val="6C633F0E"/>
    <w:rsid w:val="6CFF4FB8"/>
    <w:rsid w:val="6D6BD6E0"/>
    <w:rsid w:val="6D723C6F"/>
    <w:rsid w:val="6D77E73C"/>
    <w:rsid w:val="6DBF5E93"/>
    <w:rsid w:val="6DFF077E"/>
    <w:rsid w:val="6E7E3605"/>
    <w:rsid w:val="6E7FDCC7"/>
    <w:rsid w:val="6ED6A62E"/>
    <w:rsid w:val="6EE00B15"/>
    <w:rsid w:val="6EE737B2"/>
    <w:rsid w:val="6EEB2329"/>
    <w:rsid w:val="6EECE67A"/>
    <w:rsid w:val="6EF0D741"/>
    <w:rsid w:val="6EF37724"/>
    <w:rsid w:val="6F6F90A8"/>
    <w:rsid w:val="6F6FB3EB"/>
    <w:rsid w:val="6F8731EA"/>
    <w:rsid w:val="6FB2BDB5"/>
    <w:rsid w:val="6FBC2ADD"/>
    <w:rsid w:val="6FD57C00"/>
    <w:rsid w:val="6FEFFFD8"/>
    <w:rsid w:val="6FF5CC65"/>
    <w:rsid w:val="6FFB47EC"/>
    <w:rsid w:val="6FFF034A"/>
    <w:rsid w:val="70AF0D39"/>
    <w:rsid w:val="712A28F1"/>
    <w:rsid w:val="715C0E4B"/>
    <w:rsid w:val="71FFD401"/>
    <w:rsid w:val="72233669"/>
    <w:rsid w:val="72734D90"/>
    <w:rsid w:val="72893D0C"/>
    <w:rsid w:val="7332FE48"/>
    <w:rsid w:val="73AD73D5"/>
    <w:rsid w:val="73B6EB34"/>
    <w:rsid w:val="73FA497D"/>
    <w:rsid w:val="744731E5"/>
    <w:rsid w:val="74BBD01D"/>
    <w:rsid w:val="74BFE87F"/>
    <w:rsid w:val="74ED5379"/>
    <w:rsid w:val="750C55A3"/>
    <w:rsid w:val="75544FDC"/>
    <w:rsid w:val="75DEEEC2"/>
    <w:rsid w:val="75FF3062"/>
    <w:rsid w:val="767F479D"/>
    <w:rsid w:val="76E3355F"/>
    <w:rsid w:val="76EE7D27"/>
    <w:rsid w:val="76F742AF"/>
    <w:rsid w:val="76F7BE7D"/>
    <w:rsid w:val="76FF5125"/>
    <w:rsid w:val="773570D3"/>
    <w:rsid w:val="774946F0"/>
    <w:rsid w:val="77597F31"/>
    <w:rsid w:val="776F6FFA"/>
    <w:rsid w:val="7777A522"/>
    <w:rsid w:val="77858688"/>
    <w:rsid w:val="778769C8"/>
    <w:rsid w:val="77CB741A"/>
    <w:rsid w:val="77D7BE3A"/>
    <w:rsid w:val="77DC22F5"/>
    <w:rsid w:val="77F92092"/>
    <w:rsid w:val="797E3A6C"/>
    <w:rsid w:val="79A37BFF"/>
    <w:rsid w:val="79CF70E2"/>
    <w:rsid w:val="79D7FD79"/>
    <w:rsid w:val="79E75806"/>
    <w:rsid w:val="79EE5BA4"/>
    <w:rsid w:val="79EFD349"/>
    <w:rsid w:val="7A463AB5"/>
    <w:rsid w:val="7A641148"/>
    <w:rsid w:val="7A6F8BF5"/>
    <w:rsid w:val="7A894339"/>
    <w:rsid w:val="7A9C0875"/>
    <w:rsid w:val="7ACF82B5"/>
    <w:rsid w:val="7AEFA2F9"/>
    <w:rsid w:val="7AF92791"/>
    <w:rsid w:val="7AFF28C9"/>
    <w:rsid w:val="7AFF72A0"/>
    <w:rsid w:val="7AFF7572"/>
    <w:rsid w:val="7B57F1D7"/>
    <w:rsid w:val="7B6C7DFB"/>
    <w:rsid w:val="7B7D76A7"/>
    <w:rsid w:val="7BAE2FE2"/>
    <w:rsid w:val="7BAF6951"/>
    <w:rsid w:val="7BBFBED0"/>
    <w:rsid w:val="7BC3E394"/>
    <w:rsid w:val="7BDC69E3"/>
    <w:rsid w:val="7BF3FE4C"/>
    <w:rsid w:val="7BF7E9BC"/>
    <w:rsid w:val="7BFB5035"/>
    <w:rsid w:val="7BFDE17E"/>
    <w:rsid w:val="7BFE1399"/>
    <w:rsid w:val="7C4B12DF"/>
    <w:rsid w:val="7CBF1EC8"/>
    <w:rsid w:val="7CBFC87B"/>
    <w:rsid w:val="7CFE0F48"/>
    <w:rsid w:val="7D3DE31C"/>
    <w:rsid w:val="7D79EB11"/>
    <w:rsid w:val="7D7EC23E"/>
    <w:rsid w:val="7D7F8A13"/>
    <w:rsid w:val="7D9F6DA4"/>
    <w:rsid w:val="7DBBCB01"/>
    <w:rsid w:val="7DC765D0"/>
    <w:rsid w:val="7DDB0EE0"/>
    <w:rsid w:val="7DFF51D8"/>
    <w:rsid w:val="7E634199"/>
    <w:rsid w:val="7E8ADEBF"/>
    <w:rsid w:val="7EEF11D3"/>
    <w:rsid w:val="7EF78C20"/>
    <w:rsid w:val="7F3F679B"/>
    <w:rsid w:val="7F4B246C"/>
    <w:rsid w:val="7F4FC4EF"/>
    <w:rsid w:val="7F5E4D54"/>
    <w:rsid w:val="7F6B75FA"/>
    <w:rsid w:val="7F777809"/>
    <w:rsid w:val="7F79F146"/>
    <w:rsid w:val="7F8D9A16"/>
    <w:rsid w:val="7F9F518D"/>
    <w:rsid w:val="7FA30C79"/>
    <w:rsid w:val="7FAF8ABF"/>
    <w:rsid w:val="7FB7269E"/>
    <w:rsid w:val="7FBD6753"/>
    <w:rsid w:val="7FBFABB4"/>
    <w:rsid w:val="7FC65084"/>
    <w:rsid w:val="7FC96657"/>
    <w:rsid w:val="7FD72595"/>
    <w:rsid w:val="7FD9993B"/>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BE2A0"/>
    <w:rsid w:val="7FFD14DE"/>
    <w:rsid w:val="7FFEC16D"/>
    <w:rsid w:val="7FFFF783"/>
    <w:rsid w:val="897F3615"/>
    <w:rsid w:val="8FEF2650"/>
    <w:rsid w:val="93F70A9E"/>
    <w:rsid w:val="997D060E"/>
    <w:rsid w:val="99DF806B"/>
    <w:rsid w:val="99FF2014"/>
    <w:rsid w:val="9E59F895"/>
    <w:rsid w:val="9E7DEDC1"/>
    <w:rsid w:val="9EEF2B0D"/>
    <w:rsid w:val="9FAF126E"/>
    <w:rsid w:val="9FF6F2A6"/>
    <w:rsid w:val="9FFE4AD9"/>
    <w:rsid w:val="9FFF61B9"/>
    <w:rsid w:val="A6DD0D7F"/>
    <w:rsid w:val="A7955197"/>
    <w:rsid w:val="A7FE5E0E"/>
    <w:rsid w:val="ADC6F725"/>
    <w:rsid w:val="AF0FFA84"/>
    <w:rsid w:val="AF7F1946"/>
    <w:rsid w:val="AF9F0A5E"/>
    <w:rsid w:val="AFEF7964"/>
    <w:rsid w:val="AFFFE7B6"/>
    <w:rsid w:val="B27A6F28"/>
    <w:rsid w:val="B35F0D5A"/>
    <w:rsid w:val="B3E9AE37"/>
    <w:rsid w:val="B3F7F693"/>
    <w:rsid w:val="B3FBBB6C"/>
    <w:rsid w:val="B5FFE407"/>
    <w:rsid w:val="B7CF06AB"/>
    <w:rsid w:val="B7CFA926"/>
    <w:rsid w:val="B7F8786B"/>
    <w:rsid w:val="B8F87629"/>
    <w:rsid w:val="B9EF5647"/>
    <w:rsid w:val="BABB6AA1"/>
    <w:rsid w:val="BAFCD398"/>
    <w:rsid w:val="BAFFDA0F"/>
    <w:rsid w:val="BB2F4199"/>
    <w:rsid w:val="BBFB3EBB"/>
    <w:rsid w:val="BBFBD24E"/>
    <w:rsid w:val="BD079C78"/>
    <w:rsid w:val="BD2DD278"/>
    <w:rsid w:val="BD733540"/>
    <w:rsid w:val="BDD9A3D7"/>
    <w:rsid w:val="BDF73E58"/>
    <w:rsid w:val="BDF7970E"/>
    <w:rsid w:val="BDFE68BD"/>
    <w:rsid w:val="BE6FC990"/>
    <w:rsid w:val="BEBE9537"/>
    <w:rsid w:val="BEFF0D62"/>
    <w:rsid w:val="BEFF90EF"/>
    <w:rsid w:val="BF3735D5"/>
    <w:rsid w:val="BF3FCE04"/>
    <w:rsid w:val="BF7F09AC"/>
    <w:rsid w:val="BFB3380D"/>
    <w:rsid w:val="BFB7E7A2"/>
    <w:rsid w:val="BFC2F103"/>
    <w:rsid w:val="BFD475C3"/>
    <w:rsid w:val="BFDE5EA6"/>
    <w:rsid w:val="BFEF99E9"/>
    <w:rsid w:val="BFF2AAFA"/>
    <w:rsid w:val="BFF9E564"/>
    <w:rsid w:val="BFFF3A69"/>
    <w:rsid w:val="BFFF3E11"/>
    <w:rsid w:val="C7BFEF9C"/>
    <w:rsid w:val="C8BD8F25"/>
    <w:rsid w:val="C8F43F2B"/>
    <w:rsid w:val="C94DA72E"/>
    <w:rsid w:val="CBEEAA00"/>
    <w:rsid w:val="CBFF402D"/>
    <w:rsid w:val="CC7B6E2C"/>
    <w:rsid w:val="CC7E9ECE"/>
    <w:rsid w:val="CDBFF9FF"/>
    <w:rsid w:val="CDF78664"/>
    <w:rsid w:val="CE3FF57E"/>
    <w:rsid w:val="CF3AB4AC"/>
    <w:rsid w:val="CF6FC6F3"/>
    <w:rsid w:val="CF7B3709"/>
    <w:rsid w:val="CFD3D3D7"/>
    <w:rsid w:val="CFDF1009"/>
    <w:rsid w:val="D6B7E4F6"/>
    <w:rsid w:val="D6CB2739"/>
    <w:rsid w:val="D776A8DB"/>
    <w:rsid w:val="D7B4BC07"/>
    <w:rsid w:val="D7B6B268"/>
    <w:rsid w:val="D7D7B16A"/>
    <w:rsid w:val="D7EF2E2A"/>
    <w:rsid w:val="D8D6DB89"/>
    <w:rsid w:val="DB6F4CAB"/>
    <w:rsid w:val="DB777682"/>
    <w:rsid w:val="DBDDA52A"/>
    <w:rsid w:val="DCFFC0D1"/>
    <w:rsid w:val="DD1FB521"/>
    <w:rsid w:val="DDCB2E5E"/>
    <w:rsid w:val="DDFE75CA"/>
    <w:rsid w:val="DEBCB23B"/>
    <w:rsid w:val="DEFBBE33"/>
    <w:rsid w:val="DEFBFEAE"/>
    <w:rsid w:val="DF1F3B80"/>
    <w:rsid w:val="DF1FB57B"/>
    <w:rsid w:val="DF6F9789"/>
    <w:rsid w:val="DF9B8D55"/>
    <w:rsid w:val="DF9D198A"/>
    <w:rsid w:val="DFDF1D8E"/>
    <w:rsid w:val="DFEFC58B"/>
    <w:rsid w:val="DFF5F241"/>
    <w:rsid w:val="DFFE64ED"/>
    <w:rsid w:val="DFFF6CCF"/>
    <w:rsid w:val="DFFF8D21"/>
    <w:rsid w:val="DFFFA9E8"/>
    <w:rsid w:val="DFFFF0FE"/>
    <w:rsid w:val="E37D5D3F"/>
    <w:rsid w:val="E3FFE98D"/>
    <w:rsid w:val="E5F4E9DC"/>
    <w:rsid w:val="E67FF583"/>
    <w:rsid w:val="E70FE695"/>
    <w:rsid w:val="E73AA00A"/>
    <w:rsid w:val="E7676621"/>
    <w:rsid w:val="E76B2B9A"/>
    <w:rsid w:val="E7AB7A34"/>
    <w:rsid w:val="E7DF1E20"/>
    <w:rsid w:val="E7FF6381"/>
    <w:rsid w:val="E8EFEF1A"/>
    <w:rsid w:val="E9A30291"/>
    <w:rsid w:val="EAF26548"/>
    <w:rsid w:val="EBBF924C"/>
    <w:rsid w:val="EBFFFA37"/>
    <w:rsid w:val="ECFED1BC"/>
    <w:rsid w:val="ED1D69BB"/>
    <w:rsid w:val="ED2C2584"/>
    <w:rsid w:val="ED7FD312"/>
    <w:rsid w:val="EDBE03E0"/>
    <w:rsid w:val="EDD1A84A"/>
    <w:rsid w:val="EDFF8263"/>
    <w:rsid w:val="EE1FA0C7"/>
    <w:rsid w:val="EF53993F"/>
    <w:rsid w:val="EF7B8152"/>
    <w:rsid w:val="EF8E27E2"/>
    <w:rsid w:val="EFBFB2F4"/>
    <w:rsid w:val="EFBFFA21"/>
    <w:rsid w:val="EFDF4337"/>
    <w:rsid w:val="EFE55A12"/>
    <w:rsid w:val="EFF7097E"/>
    <w:rsid w:val="EFFFCDF8"/>
    <w:rsid w:val="F2BEBCB8"/>
    <w:rsid w:val="F36FB518"/>
    <w:rsid w:val="F3DE1A04"/>
    <w:rsid w:val="F3E244FA"/>
    <w:rsid w:val="F3EFB7CA"/>
    <w:rsid w:val="F3F722E5"/>
    <w:rsid w:val="F55B7642"/>
    <w:rsid w:val="F5F72283"/>
    <w:rsid w:val="F699BB1A"/>
    <w:rsid w:val="F6DEABFE"/>
    <w:rsid w:val="F6EB59BD"/>
    <w:rsid w:val="F7B650C7"/>
    <w:rsid w:val="F7D5363F"/>
    <w:rsid w:val="F7EF9033"/>
    <w:rsid w:val="F7EFAF09"/>
    <w:rsid w:val="F7FDC2B1"/>
    <w:rsid w:val="F7FE6818"/>
    <w:rsid w:val="F8DDDAC6"/>
    <w:rsid w:val="F8F94CBD"/>
    <w:rsid w:val="F96B55C8"/>
    <w:rsid w:val="F98F24EB"/>
    <w:rsid w:val="F9BECA5B"/>
    <w:rsid w:val="FA2F5BEB"/>
    <w:rsid w:val="FA5F1E70"/>
    <w:rsid w:val="FA5FDB97"/>
    <w:rsid w:val="FB1BB959"/>
    <w:rsid w:val="FB3F1AEA"/>
    <w:rsid w:val="FB5D7F19"/>
    <w:rsid w:val="FB75E3C8"/>
    <w:rsid w:val="FB7F461B"/>
    <w:rsid w:val="FB7F486A"/>
    <w:rsid w:val="FB7F6E28"/>
    <w:rsid w:val="FB8778F4"/>
    <w:rsid w:val="FBB61866"/>
    <w:rsid w:val="FBD53262"/>
    <w:rsid w:val="FBE34D94"/>
    <w:rsid w:val="FBEC2BA2"/>
    <w:rsid w:val="FBEE055A"/>
    <w:rsid w:val="FBF58A9C"/>
    <w:rsid w:val="FBF91527"/>
    <w:rsid w:val="FBFD1260"/>
    <w:rsid w:val="FBFF2603"/>
    <w:rsid w:val="FBFF5B2E"/>
    <w:rsid w:val="FC833EBB"/>
    <w:rsid w:val="FCFE0B49"/>
    <w:rsid w:val="FD4B388D"/>
    <w:rsid w:val="FD77A83C"/>
    <w:rsid w:val="FD7FFE2B"/>
    <w:rsid w:val="FDADA43D"/>
    <w:rsid w:val="FDBDC432"/>
    <w:rsid w:val="FDEB412A"/>
    <w:rsid w:val="FDEE196B"/>
    <w:rsid w:val="FDEF50BC"/>
    <w:rsid w:val="FDFD5EC3"/>
    <w:rsid w:val="FDFE6575"/>
    <w:rsid w:val="FE763C01"/>
    <w:rsid w:val="FE7EFFE3"/>
    <w:rsid w:val="FE9E11AB"/>
    <w:rsid w:val="FEBF38CD"/>
    <w:rsid w:val="FEDFDDC2"/>
    <w:rsid w:val="FEEB4E4D"/>
    <w:rsid w:val="FEED32F6"/>
    <w:rsid w:val="FEF781DD"/>
    <w:rsid w:val="FEF9D8C4"/>
    <w:rsid w:val="FEFE3985"/>
    <w:rsid w:val="FF3F7E3F"/>
    <w:rsid w:val="FF3FF759"/>
    <w:rsid w:val="FF4749A3"/>
    <w:rsid w:val="FF4D3A28"/>
    <w:rsid w:val="FF5913BC"/>
    <w:rsid w:val="FF7F158B"/>
    <w:rsid w:val="FF7F1E7E"/>
    <w:rsid w:val="FF9BAA5C"/>
    <w:rsid w:val="FFA57884"/>
    <w:rsid w:val="FFB513DD"/>
    <w:rsid w:val="FFBA12D7"/>
    <w:rsid w:val="FFBE6FF9"/>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4"/>
    <w:qFormat/>
    <w:uiPriority w:val="0"/>
    <w:pPr>
      <w:spacing w:beforeLines="30"/>
    </w:pPr>
    <w:rPr>
      <w:rFonts w:ascii="仿宋_GB2312" w:eastAsia="仿宋_GB2312"/>
      <w:kern w:val="0"/>
      <w:sz w:val="30"/>
    </w:rPr>
  </w:style>
  <w:style w:type="paragraph" w:styleId="7">
    <w:name w:val="Normal Indent"/>
    <w:basedOn w:val="1"/>
    <w:next w:val="1"/>
    <w:qFormat/>
    <w:uiPriority w:val="0"/>
    <w:pPr>
      <w:spacing w:before="156" w:beforeLines="50" w:line="360" w:lineRule="auto"/>
      <w:ind w:firstLine="640" w:firstLineChars="200"/>
    </w:pPr>
    <w:rPr>
      <w:rFonts w:ascii="仿宋" w:hAnsi="仿宋" w:eastAsia="仿宋"/>
      <w:sz w:val="32"/>
      <w:szCs w:val="32"/>
      <w:lang w:val="zh-CN" w:eastAsia="ar-SA"/>
    </w:rPr>
  </w:style>
  <w:style w:type="paragraph" w:styleId="8">
    <w:name w:val="Document Map"/>
    <w:basedOn w:val="1"/>
    <w:link w:val="50"/>
    <w:qFormat/>
    <w:uiPriority w:val="0"/>
    <w:rPr>
      <w:rFonts w:ascii="宋体"/>
      <w:sz w:val="18"/>
      <w:szCs w:val="18"/>
    </w:rPr>
  </w:style>
  <w:style w:type="paragraph" w:styleId="9">
    <w:name w:val="toa heading"/>
    <w:basedOn w:val="1"/>
    <w:next w:val="1"/>
    <w:qFormat/>
    <w:uiPriority w:val="0"/>
    <w:pPr>
      <w:spacing w:before="120" w:beforeLines="0" w:beforeAutospacing="0"/>
    </w:pPr>
    <w:rPr>
      <w:rFonts w:ascii="Arial" w:hAnsi="Arial"/>
      <w:sz w:val="24"/>
    </w:rPr>
  </w:style>
  <w:style w:type="paragraph" w:styleId="10">
    <w:name w:val="Salutation"/>
    <w:basedOn w:val="1"/>
    <w:next w:val="1"/>
    <w:link w:val="51"/>
    <w:qFormat/>
    <w:uiPriority w:val="0"/>
    <w:rPr>
      <w:rFonts w:eastAsia="方正仿宋简体"/>
      <w:b/>
      <w:sz w:val="36"/>
    </w:rPr>
  </w:style>
  <w:style w:type="paragraph" w:styleId="11">
    <w:name w:val="Body Text Indent"/>
    <w:basedOn w:val="1"/>
    <w:link w:val="35"/>
    <w:qFormat/>
    <w:uiPriority w:val="0"/>
    <w:pPr>
      <w:spacing w:after="120"/>
      <w:ind w:left="200" w:leftChars="200"/>
    </w:pPr>
    <w:rPr>
      <w:rFonts w:ascii="仿宋_GB2312"/>
      <w:szCs w:val="32"/>
    </w:rPr>
  </w:style>
  <w:style w:type="paragraph" w:styleId="12">
    <w:name w:val="toc 5"/>
    <w:basedOn w:val="1"/>
    <w:next w:val="1"/>
    <w:unhideWhenUsed/>
    <w:qFormat/>
    <w:uiPriority w:val="39"/>
    <w:pPr>
      <w:ind w:left="1680" w:leftChars="800"/>
    </w:pPr>
    <w:rPr>
      <w:rFonts w:eastAsia="仿宋_GB2312"/>
      <w:sz w:val="32"/>
    </w:rPr>
  </w:style>
  <w:style w:type="paragraph" w:styleId="13">
    <w:name w:val="toc 3"/>
    <w:basedOn w:val="1"/>
    <w:next w:val="1"/>
    <w:unhideWhenUsed/>
    <w:qFormat/>
    <w:uiPriority w:val="39"/>
    <w:pPr>
      <w:tabs>
        <w:tab w:val="right" w:leader="dot" w:pos="8296"/>
      </w:tabs>
      <w:ind w:left="840" w:leftChars="400"/>
    </w:pPr>
  </w:style>
  <w:style w:type="paragraph" w:styleId="14">
    <w:name w:val="Balloon Text"/>
    <w:basedOn w:val="1"/>
    <w:link w:val="36"/>
    <w:semiHidden/>
    <w:unhideWhenUsed/>
    <w:qFormat/>
    <w:uiPriority w:val="0"/>
    <w:rPr>
      <w:sz w:val="18"/>
      <w:szCs w:val="18"/>
    </w:rPr>
  </w:style>
  <w:style w:type="paragraph" w:styleId="15">
    <w:name w:val="footer"/>
    <w:basedOn w:val="1"/>
    <w:link w:val="37"/>
    <w:qFormat/>
    <w:uiPriority w:val="99"/>
    <w:pPr>
      <w:tabs>
        <w:tab w:val="center" w:pos="4153"/>
        <w:tab w:val="right" w:pos="8306"/>
      </w:tabs>
      <w:snapToGrid w:val="0"/>
      <w:jc w:val="left"/>
    </w:pPr>
    <w:rPr>
      <w:rFonts w:ascii="Calibri" w:hAnsi="Calibri"/>
      <w:kern w:val="0"/>
      <w:sz w:val="18"/>
      <w:szCs w:val="18"/>
    </w:rPr>
  </w:style>
  <w:style w:type="paragraph" w:styleId="16">
    <w:name w:val="header"/>
    <w:basedOn w:val="1"/>
    <w:link w:val="38"/>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7">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8">
    <w:name w:val="table of figures"/>
    <w:basedOn w:val="1"/>
    <w:next w:val="1"/>
    <w:qFormat/>
    <w:uiPriority w:val="0"/>
    <w:rPr>
      <w:rFonts w:ascii="仿宋_GB2312" w:hAnsi="仿宋_GB2312"/>
      <w:sz w:val="32"/>
    </w:rPr>
  </w:style>
  <w:style w:type="paragraph" w:styleId="19">
    <w:name w:val="toc 2"/>
    <w:basedOn w:val="1"/>
    <w:next w:val="1"/>
    <w:unhideWhenUsed/>
    <w:qFormat/>
    <w:uiPriority w:val="39"/>
    <w:pPr>
      <w:tabs>
        <w:tab w:val="right" w:leader="dot" w:pos="8296"/>
      </w:tabs>
      <w:ind w:left="420" w:leftChars="200"/>
    </w:pPr>
  </w:style>
  <w:style w:type="paragraph" w:styleId="20">
    <w:name w:val="Normal (Web)"/>
    <w:basedOn w:val="1"/>
    <w:qFormat/>
    <w:uiPriority w:val="0"/>
    <w:rPr>
      <w:sz w:val="24"/>
    </w:rPr>
  </w:style>
  <w:style w:type="paragraph" w:styleId="21">
    <w:name w:val="Body Text First Indent 2"/>
    <w:basedOn w:val="11"/>
    <w:next w:val="1"/>
    <w:link w:val="39"/>
    <w:unhideWhenUsed/>
    <w:qFormat/>
    <w:uiPriority w:val="99"/>
    <w:pPr>
      <w:ind w:firstLine="420" w:firstLineChars="200"/>
    </w:pPr>
  </w:style>
  <w:style w:type="table" w:styleId="23">
    <w:name w:val="Table Grid"/>
    <w:basedOn w:val="2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99"/>
    <w:rPr>
      <w:b/>
    </w:rPr>
  </w:style>
  <w:style w:type="character" w:styleId="26">
    <w:name w:val="page number"/>
    <w:basedOn w:val="24"/>
    <w:qFormat/>
    <w:uiPriority w:val="0"/>
  </w:style>
  <w:style w:type="character" w:styleId="27">
    <w:name w:val="Hyperlink"/>
    <w:basedOn w:val="24"/>
    <w:unhideWhenUsed/>
    <w:qFormat/>
    <w:uiPriority w:val="99"/>
    <w:rPr>
      <w:color w:val="0000FF" w:themeColor="hyperlink"/>
      <w:u w:val="single"/>
      <w14:textFill>
        <w14:solidFill>
          <w14:schemeClr w14:val="hlink"/>
        </w14:solidFill>
      </w14:textFill>
    </w:rPr>
  </w:style>
  <w:style w:type="character" w:customStyle="1" w:styleId="28">
    <w:name w:val="标题 1 Char"/>
    <w:basedOn w:val="24"/>
    <w:link w:val="3"/>
    <w:qFormat/>
    <w:uiPriority w:val="9"/>
    <w:rPr>
      <w:b/>
      <w:bCs/>
      <w:kern w:val="44"/>
      <w:sz w:val="44"/>
      <w:szCs w:val="44"/>
    </w:rPr>
  </w:style>
  <w:style w:type="character" w:customStyle="1" w:styleId="29">
    <w:name w:val="标题 2 Char"/>
    <w:basedOn w:val="24"/>
    <w:link w:val="4"/>
    <w:qFormat/>
    <w:uiPriority w:val="9"/>
    <w:rPr>
      <w:rFonts w:ascii="Cambria" w:hAnsi="Cambria" w:eastAsia="宋体" w:cs="Times New Roman"/>
      <w:b/>
      <w:bCs/>
      <w:sz w:val="32"/>
      <w:szCs w:val="32"/>
    </w:rPr>
  </w:style>
  <w:style w:type="character" w:customStyle="1" w:styleId="30">
    <w:name w:val="标题 1 字符"/>
    <w:basedOn w:val="24"/>
    <w:link w:val="3"/>
    <w:qFormat/>
    <w:uiPriority w:val="9"/>
    <w:rPr>
      <w:rFonts w:ascii="Times New Roman" w:hAnsi="Times New Roman"/>
      <w:b/>
      <w:bCs/>
      <w:kern w:val="44"/>
      <w:sz w:val="44"/>
      <w:szCs w:val="44"/>
    </w:rPr>
  </w:style>
  <w:style w:type="character" w:customStyle="1" w:styleId="31">
    <w:name w:val="标题 2 字符"/>
    <w:basedOn w:val="24"/>
    <w:link w:val="4"/>
    <w:qFormat/>
    <w:uiPriority w:val="9"/>
    <w:rPr>
      <w:rFonts w:asciiTheme="majorHAnsi" w:hAnsiTheme="majorHAnsi" w:eastAsiaTheme="majorEastAsia" w:cstheme="majorBidi"/>
      <w:b/>
      <w:bCs/>
      <w:kern w:val="2"/>
      <w:sz w:val="32"/>
      <w:szCs w:val="32"/>
    </w:rPr>
  </w:style>
  <w:style w:type="character" w:customStyle="1" w:styleId="32">
    <w:name w:val="标题 3 字符"/>
    <w:basedOn w:val="24"/>
    <w:link w:val="5"/>
    <w:qFormat/>
    <w:uiPriority w:val="9"/>
    <w:rPr>
      <w:rFonts w:ascii="Times New Roman" w:hAnsi="Times New Roman"/>
      <w:b/>
      <w:bCs/>
      <w:kern w:val="2"/>
      <w:sz w:val="32"/>
      <w:szCs w:val="32"/>
    </w:rPr>
  </w:style>
  <w:style w:type="paragraph" w:customStyle="1" w:styleId="33">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34">
    <w:name w:val="正文文本 字符"/>
    <w:link w:val="2"/>
    <w:qFormat/>
    <w:locked/>
    <w:uiPriority w:val="0"/>
    <w:rPr>
      <w:rFonts w:ascii="仿宋_GB2312" w:hAnsi="Times New Roman" w:eastAsia="仿宋_GB2312"/>
      <w:sz w:val="24"/>
    </w:rPr>
  </w:style>
  <w:style w:type="character" w:customStyle="1" w:styleId="35">
    <w:name w:val="正文文本缩进 字符"/>
    <w:basedOn w:val="24"/>
    <w:link w:val="11"/>
    <w:qFormat/>
    <w:uiPriority w:val="0"/>
    <w:rPr>
      <w:rFonts w:ascii="仿宋_GB2312" w:hAnsi="Times New Roman" w:eastAsia="宋体" w:cs="Times New Roman"/>
      <w:kern w:val="2"/>
      <w:sz w:val="21"/>
      <w:szCs w:val="32"/>
    </w:rPr>
  </w:style>
  <w:style w:type="character" w:customStyle="1" w:styleId="36">
    <w:name w:val="批注框文本 字符"/>
    <w:basedOn w:val="24"/>
    <w:link w:val="14"/>
    <w:semiHidden/>
    <w:qFormat/>
    <w:uiPriority w:val="0"/>
    <w:rPr>
      <w:rFonts w:ascii="Times New Roman" w:hAnsi="Times New Roman"/>
      <w:kern w:val="2"/>
      <w:sz w:val="18"/>
      <w:szCs w:val="18"/>
    </w:rPr>
  </w:style>
  <w:style w:type="character" w:customStyle="1" w:styleId="37">
    <w:name w:val="页脚 字符"/>
    <w:link w:val="15"/>
    <w:qFormat/>
    <w:locked/>
    <w:uiPriority w:val="99"/>
    <w:rPr>
      <w:sz w:val="18"/>
    </w:rPr>
  </w:style>
  <w:style w:type="character" w:customStyle="1" w:styleId="38">
    <w:name w:val="页眉 字符"/>
    <w:link w:val="16"/>
    <w:qFormat/>
    <w:locked/>
    <w:uiPriority w:val="0"/>
    <w:rPr>
      <w:sz w:val="18"/>
    </w:rPr>
  </w:style>
  <w:style w:type="character" w:customStyle="1" w:styleId="39">
    <w:name w:val="正文文本首行缩进 2 字符"/>
    <w:basedOn w:val="35"/>
    <w:link w:val="21"/>
    <w:qFormat/>
    <w:uiPriority w:val="99"/>
    <w:rPr>
      <w:rFonts w:ascii="仿宋_GB2312" w:hAnsi="Times New Roman" w:eastAsia="宋体" w:cs="Times New Roman"/>
      <w:kern w:val="2"/>
      <w:sz w:val="21"/>
      <w:szCs w:val="32"/>
    </w:rPr>
  </w:style>
  <w:style w:type="character" w:customStyle="1" w:styleId="40">
    <w:name w:val="Header Char"/>
    <w:basedOn w:val="24"/>
    <w:semiHidden/>
    <w:qFormat/>
    <w:uiPriority w:val="99"/>
    <w:rPr>
      <w:rFonts w:ascii="Times New Roman" w:hAnsi="Times New Roman"/>
      <w:sz w:val="18"/>
      <w:szCs w:val="18"/>
    </w:rPr>
  </w:style>
  <w:style w:type="character" w:customStyle="1" w:styleId="41">
    <w:name w:val="Footer Char"/>
    <w:basedOn w:val="24"/>
    <w:semiHidden/>
    <w:qFormat/>
    <w:uiPriority w:val="99"/>
    <w:rPr>
      <w:rFonts w:ascii="Times New Roman" w:hAnsi="Times New Roman"/>
      <w:sz w:val="18"/>
      <w:szCs w:val="18"/>
    </w:rPr>
  </w:style>
  <w:style w:type="character" w:customStyle="1" w:styleId="42">
    <w:name w:val="Body Text Char"/>
    <w:basedOn w:val="24"/>
    <w:semiHidden/>
    <w:qFormat/>
    <w:uiPriority w:val="99"/>
    <w:rPr>
      <w:rFonts w:ascii="Times New Roman" w:hAnsi="Times New Roman"/>
      <w:szCs w:val="24"/>
    </w:rPr>
  </w:style>
  <w:style w:type="paragraph" w:customStyle="1" w:styleId="4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44">
    <w:name w:val="List Paragraph"/>
    <w:basedOn w:val="1"/>
    <w:qFormat/>
    <w:uiPriority w:val="34"/>
    <w:pPr>
      <w:ind w:firstLine="420" w:firstLineChars="200"/>
    </w:pPr>
  </w:style>
  <w:style w:type="paragraph" w:customStyle="1" w:styleId="45">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6">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7">
    <w:name w:val="四号正文"/>
    <w:basedOn w:val="1"/>
    <w:link w:val="48"/>
    <w:qFormat/>
    <w:uiPriority w:val="0"/>
    <w:pPr>
      <w:spacing w:line="360" w:lineRule="auto"/>
    </w:pPr>
    <w:rPr>
      <w:rFonts w:ascii="??" w:hAnsi="??"/>
      <w:color w:val="000000"/>
      <w:kern w:val="0"/>
      <w:sz w:val="28"/>
      <w:szCs w:val="21"/>
      <w:lang w:val="zh-CN"/>
    </w:rPr>
  </w:style>
  <w:style w:type="character" w:customStyle="1" w:styleId="48">
    <w:name w:val="四号正文 Char"/>
    <w:basedOn w:val="24"/>
    <w:link w:val="47"/>
    <w:qFormat/>
    <w:uiPriority w:val="0"/>
    <w:rPr>
      <w:rFonts w:ascii="??" w:hAnsi="??" w:eastAsia="宋体" w:cs="Times New Roman"/>
      <w:color w:val="000000"/>
      <w:sz w:val="28"/>
      <w:szCs w:val="21"/>
      <w:lang w:val="zh-CN"/>
    </w:rPr>
  </w:style>
  <w:style w:type="paragraph" w:customStyle="1" w:styleId="49">
    <w:name w:val="样式 行距: 固定值 28.9 磅"/>
    <w:basedOn w:val="1"/>
    <w:qFormat/>
    <w:uiPriority w:val="0"/>
    <w:pPr>
      <w:spacing w:line="578" w:lineRule="exact"/>
    </w:pPr>
    <w:rPr>
      <w:rFonts w:eastAsia="仿宋_GB2312" w:cs="宋体"/>
      <w:sz w:val="32"/>
      <w:szCs w:val="20"/>
    </w:rPr>
  </w:style>
  <w:style w:type="character" w:customStyle="1" w:styleId="50">
    <w:name w:val="文档结构图 字符"/>
    <w:basedOn w:val="24"/>
    <w:link w:val="8"/>
    <w:qFormat/>
    <w:uiPriority w:val="0"/>
    <w:rPr>
      <w:rFonts w:ascii="宋体" w:hAnsi="Times New Roman" w:eastAsia="宋体" w:cs="Times New Roman"/>
      <w:kern w:val="2"/>
      <w:sz w:val="18"/>
      <w:szCs w:val="18"/>
    </w:rPr>
  </w:style>
  <w:style w:type="character" w:customStyle="1" w:styleId="51">
    <w:name w:val="称呼 字符"/>
    <w:basedOn w:val="24"/>
    <w:link w:val="10"/>
    <w:qFormat/>
    <w:uiPriority w:val="0"/>
    <w:rPr>
      <w:rFonts w:ascii="Times New Roman" w:hAnsi="Times New Roman" w:eastAsia="方正仿宋简体" w:cs="Times New Roman"/>
      <w:b/>
      <w:kern w:val="2"/>
      <w:sz w:val="36"/>
      <w:szCs w:val="24"/>
    </w:rPr>
  </w:style>
  <w:style w:type="paragraph" w:customStyle="1" w:styleId="52">
    <w:name w:val="常用样式（方正仿宋简）"/>
    <w:basedOn w:val="1"/>
    <w:qFormat/>
    <w:uiPriority w:val="0"/>
    <w:pPr>
      <w:spacing w:line="560" w:lineRule="exact"/>
      <w:ind w:firstLine="640" w:firstLineChars="200"/>
    </w:pPr>
    <w:rPr>
      <w:rFonts w:ascii="Calibri" w:hAnsi="Calibri" w:eastAsia="方正仿宋简体"/>
      <w:sz w:val="32"/>
    </w:rPr>
  </w:style>
  <w:style w:type="paragraph" w:customStyle="1" w:styleId="53">
    <w:name w:val="a"/>
    <w:basedOn w:val="1"/>
    <w:qFormat/>
    <w:uiPriority w:val="0"/>
    <w:pPr>
      <w:widowControl/>
      <w:spacing w:before="100" w:beforeAutospacing="1" w:after="100" w:afterAutospacing="1"/>
      <w:jc w:val="left"/>
    </w:pPr>
    <w:rPr>
      <w:rFonts w:ascii="宋体" w:hAnsi="宋体" w:cs="宋体"/>
      <w:kern w:val="0"/>
      <w:sz w:val="24"/>
    </w:rPr>
  </w:style>
  <w:style w:type="character" w:customStyle="1" w:styleId="54">
    <w:name w:val="font31"/>
    <w:basedOn w:val="24"/>
    <w:qFormat/>
    <w:uiPriority w:val="0"/>
    <w:rPr>
      <w:rFonts w:hint="eastAsia" w:ascii="宋体" w:hAnsi="宋体" w:eastAsia="宋体" w:cs="宋体"/>
      <w:color w:val="000000"/>
      <w:sz w:val="24"/>
      <w:szCs w:val="24"/>
      <w:u w:val="none"/>
    </w:rPr>
  </w:style>
  <w:style w:type="character" w:customStyle="1" w:styleId="55">
    <w:name w:val="font51"/>
    <w:basedOn w:val="24"/>
    <w:qFormat/>
    <w:uiPriority w:val="0"/>
    <w:rPr>
      <w:rFonts w:hint="default" w:ascii="Wingdings 2" w:hAnsi="Wingdings 2" w:eastAsia="Wingdings 2" w:cs="Wingdings 2"/>
      <w:color w:val="000000"/>
      <w:sz w:val="18"/>
      <w:szCs w:val="18"/>
      <w:u w:val="none"/>
    </w:rPr>
  </w:style>
  <w:style w:type="character" w:customStyle="1" w:styleId="56">
    <w:name w:val="font01"/>
    <w:basedOn w:val="24"/>
    <w:qFormat/>
    <w:uiPriority w:val="0"/>
    <w:rPr>
      <w:rFonts w:ascii="宋体" w:hAnsi="宋体" w:eastAsia="宋体" w:cs="宋体"/>
      <w:color w:val="000000"/>
      <w:sz w:val="18"/>
      <w:szCs w:val="18"/>
      <w:u w:val="none"/>
    </w:rPr>
  </w:style>
  <w:style w:type="character" w:customStyle="1" w:styleId="57">
    <w:name w:val="font41"/>
    <w:basedOn w:val="24"/>
    <w:qFormat/>
    <w:uiPriority w:val="0"/>
    <w:rPr>
      <w:rFonts w:ascii="宋体" w:hAnsi="宋体" w:eastAsia="宋体" w:cs="宋体"/>
      <w:color w:val="000000"/>
      <w:sz w:val="18"/>
      <w:szCs w:val="18"/>
      <w:u w:val="none"/>
    </w:rPr>
  </w:style>
  <w:style w:type="paragraph" w:customStyle="1" w:styleId="58">
    <w:name w:val="正文首行缩进 21"/>
    <w:basedOn w:val="1"/>
    <w:next w:val="1"/>
    <w:qFormat/>
    <w:uiPriority w:val="0"/>
    <w:pPr>
      <w:spacing w:line="600" w:lineRule="atLeast"/>
      <w:ind w:firstLine="420" w:firstLineChars="200"/>
    </w:pPr>
    <w:rPr>
      <w:b/>
      <w:bCs/>
      <w:sz w:val="30"/>
      <w:szCs w:val="30"/>
    </w:rPr>
  </w:style>
  <w:style w:type="paragraph" w:customStyle="1" w:styleId="59">
    <w:name w:val="WPSOffice手动目录 1"/>
    <w:qFormat/>
    <w:uiPriority w:val="0"/>
    <w:rPr>
      <w:rFonts w:asciiTheme="minorHAnsi" w:hAnsiTheme="minorHAnsi" w:eastAsiaTheme="minorEastAsia" w:cstheme="minorBidi"/>
      <w:lang w:val="en-US" w:eastAsia="zh-CN" w:bidi="ar-SA"/>
    </w:rPr>
  </w:style>
  <w:style w:type="paragraph" w:customStyle="1" w:styleId="6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61">
    <w:name w:val="WPSOffice手动目录 3"/>
    <w:qFormat/>
    <w:uiPriority w:val="0"/>
    <w:pPr>
      <w:ind w:left="400" w:leftChars="4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100</Pages>
  <Words>29</Words>
  <Characters>36</Characters>
  <Lines>53</Lines>
  <Paragraphs>72</Paragraphs>
  <TotalTime>83</TotalTime>
  <ScaleCrop>false</ScaleCrop>
  <LinksUpToDate>false</LinksUpToDate>
  <CharactersWithSpaces>58</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2024-08-08T23:12:00Z</dcterms:created>
  <dc:creator>曹颖</dc:creator>
  <cp:lastModifiedBy> </cp:lastModifiedBy>
  <cp:lastPrinted>2023-08-07T02:35:00Z</cp:lastPrinted>
  <dcterms:modified xsi:type="dcterms:W3CDTF">2025-09-28T20:22:15Z</dcterms:modified>
  <dc:title>四川省***</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46B230162F5F4E2199246CFCCC007E68_12</vt:lpwstr>
  </property>
  <property fmtid="{D5CDD505-2E9C-101B-9397-08002B2CF9AE}" pid="4" name="KSOTemplateDocerSaveRecord">
    <vt:lpwstr>eyJoZGlkIjoiYTc2ZGZiNzZiNDVlOGViOWVmM2JhOTY0NGJkNjUyYzgiLCJ1c2VySWQiOiIyMjA2OTAwNTAifQ==</vt:lpwstr>
  </property>
</Properties>
</file>