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1" w:name="_Toc15396475"/>
      <w:bookmarkStart w:id="2" w:name="_Toc15396597"/>
      <w:bookmarkStart w:id="3" w:name="_Toc15377425"/>
      <w:bookmarkStart w:id="4" w:name="_Toc15377193"/>
      <w:bookmarkStart w:id="5" w:name="_Toc15378441"/>
      <w:bookmarkStart w:id="6" w:name="_Hlk178332998"/>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7" w:name="_Toc15396598"/>
      <w:bookmarkStart w:id="8" w:name="_Toc15378442"/>
      <w:bookmarkStart w:id="9" w:name="_Toc15306268"/>
      <w:bookmarkStart w:id="10" w:name="_Toc15396476"/>
      <w:bookmarkStart w:id="11" w:name="_Toc15377194"/>
      <w:bookmarkStart w:id="12" w:name="_Toc15377426"/>
      <w:r>
        <w:rPr>
          <w:rFonts w:hint="eastAsia" w:ascii="方正小标宋简体" w:hAnsi="方正小标宋简体" w:eastAsia="方正小标宋简体" w:cs="方正小标宋简体"/>
          <w:sz w:val="72"/>
          <w:szCs w:val="72"/>
        </w:rPr>
        <w:t>广元市救助管理站</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p>
    <w:bookmarkEnd w:id="6"/>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1"/>
        <w:rPr>
          <w:rFonts w:hint="eastAsia"/>
        </w:rPr>
      </w:pPr>
      <w:r>
        <w:rPr>
          <w:rFonts w:hint="eastAsia"/>
        </w:rPr>
        <w:t>公开时间：2023年</w:t>
      </w:r>
      <w:r>
        <w:t>10</w:t>
      </w:r>
      <w:r>
        <w:rPr>
          <w:rFonts w:hint="eastAsia"/>
        </w:rPr>
        <w:t>月</w:t>
      </w:r>
      <w:r>
        <w:t>14</w:t>
      </w:r>
      <w:r>
        <w:rPr>
          <w:rFonts w:hint="eastAsia"/>
        </w:rPr>
        <w:t>日</w:t>
      </w:r>
    </w:p>
    <w:sdt>
      <w:sdtPr>
        <w:rPr>
          <w:rFonts w:ascii="宋体" w:hAnsi="宋体" w:eastAsia="宋体" w:cs="Times New Roman"/>
          <w:kern w:val="2"/>
          <w:sz w:val="21"/>
          <w:szCs w:val="24"/>
          <w:lang w:val="en-US" w:eastAsia="zh-CN" w:bidi="ar-SA"/>
        </w:rPr>
        <w:id w:val="147474481"/>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_Toc2892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_Toc2892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_Toc13004 </w:instrText>
          </w:r>
          <w:r>
            <w:fldChar w:fldCharType="separate"/>
          </w:r>
          <w:r>
            <w:rPr>
              <w:rFonts w:hint="eastAsia" w:ascii="黑体" w:hAnsi="黑体" w:eastAsia="黑体"/>
              <w:bCs w:val="0"/>
            </w:rPr>
            <w:t>一、主要职责</w:t>
          </w:r>
          <w:r>
            <w:tab/>
          </w:r>
          <w:r>
            <w:fldChar w:fldCharType="begin"/>
          </w:r>
          <w:r>
            <w:instrText xml:space="preserve"> PAGEREF _Toc13004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_Toc5095 </w:instrText>
          </w:r>
          <w:r>
            <w:fldChar w:fldCharType="separate"/>
          </w:r>
          <w:r>
            <w:rPr>
              <w:rFonts w:hint="eastAsia" w:ascii="黑体" w:hAnsi="黑体" w:eastAsia="黑体"/>
            </w:rPr>
            <w:t>二、机构设置</w:t>
          </w:r>
          <w:r>
            <w:tab/>
          </w:r>
          <w:r>
            <w:fldChar w:fldCharType="begin"/>
          </w:r>
          <w:r>
            <w:instrText xml:space="preserve"> PAGEREF _Toc5095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_Toc26294 </w:instrText>
          </w:r>
          <w:r>
            <w:fldChar w:fldCharType="separate"/>
          </w:r>
          <w:r>
            <w:rPr>
              <w:rFonts w:hint="eastAsia" w:ascii="黑体" w:hAnsi="黑体" w:eastAsia="黑体"/>
            </w:rPr>
            <w:t>第二部分 2023年度</w:t>
          </w:r>
          <w:r>
            <w:rPr>
              <w:rFonts w:hint="eastAsia" w:ascii="黑体" w:hAnsi="黑体" w:eastAsia="黑体"/>
              <w:bCs/>
            </w:rPr>
            <w:t>单位决算情况说明</w:t>
          </w:r>
          <w:r>
            <w:tab/>
          </w:r>
          <w:r>
            <w:fldChar w:fldCharType="begin"/>
          </w:r>
          <w:r>
            <w:instrText xml:space="preserve"> PAGEREF _Toc26294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_Toc21783 </w:instrText>
          </w:r>
          <w:r>
            <w:fldChar w:fldCharType="separate"/>
          </w:r>
          <w:r>
            <w:rPr>
              <w:rFonts w:hint="default" w:ascii="黑体" w:hAnsi="黑体" w:eastAsia="黑体"/>
            </w:rPr>
            <w:t>一、</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_Toc21783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_Toc14842 </w:instrText>
          </w:r>
          <w:r>
            <w:fldChar w:fldCharType="separate"/>
          </w:r>
          <w:r>
            <w:rPr>
              <w:rFonts w:hint="default" w:ascii="黑体" w:hAnsi="黑体" w:eastAsia="黑体"/>
            </w:rPr>
            <w:t>二、</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_Toc14842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_Toc3569 </w:instrText>
          </w:r>
          <w:r>
            <w:fldChar w:fldCharType="separate"/>
          </w:r>
          <w:r>
            <w:rPr>
              <w:rFonts w:hint="default"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_Toc3569 \h </w:instrText>
          </w:r>
          <w:r>
            <w:fldChar w:fldCharType="separate"/>
          </w:r>
          <w:r>
            <w:t>5</w:t>
          </w:r>
          <w:r>
            <w:fldChar w:fldCharType="end"/>
          </w:r>
          <w:r>
            <w:fldChar w:fldCharType="end"/>
          </w:r>
        </w:p>
        <w:p>
          <w:pPr>
            <w:pStyle w:val="12"/>
            <w:tabs>
              <w:tab w:val="right" w:leader="dot" w:pos="8306"/>
              <w:tab w:val="clear" w:pos="8296"/>
            </w:tabs>
          </w:pPr>
          <w:r>
            <w:fldChar w:fldCharType="begin"/>
          </w:r>
          <w:r>
            <w:instrText xml:space="preserve"> HYPERLINK \l _Toc4632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_Toc4632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_Toc11694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_Toc11694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_Toc10810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_Toc10810 \h </w:instrText>
          </w:r>
          <w:r>
            <w:fldChar w:fldCharType="separate"/>
          </w:r>
          <w:r>
            <w:t>8</w:t>
          </w:r>
          <w:r>
            <w:fldChar w:fldCharType="end"/>
          </w:r>
          <w:r>
            <w:fldChar w:fldCharType="end"/>
          </w:r>
        </w:p>
        <w:p>
          <w:pPr>
            <w:pStyle w:val="12"/>
            <w:tabs>
              <w:tab w:val="right" w:leader="dot" w:pos="8306"/>
              <w:tab w:val="clear" w:pos="8296"/>
            </w:tabs>
          </w:pPr>
          <w:r>
            <w:fldChar w:fldCharType="begin"/>
          </w:r>
          <w:r>
            <w:instrText xml:space="preserve"> HYPERLINK \l _Toc12379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_Toc12379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_Toc11677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_Toc11677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_Toc15898 </w:instrText>
          </w:r>
          <w:r>
            <w:fldChar w:fldCharType="separate"/>
          </w:r>
          <w:r>
            <w:rPr>
              <w:rFonts w:hint="eastAsia" w:ascii="黑体" w:hAnsi="黑体" w:eastAsia="黑体"/>
            </w:rPr>
            <w:t>九、国有资本经营预算支出决算情况说明</w:t>
          </w:r>
          <w:r>
            <w:tab/>
          </w:r>
          <w:r>
            <w:fldChar w:fldCharType="begin"/>
          </w:r>
          <w:r>
            <w:instrText xml:space="preserve"> PAGEREF _Toc15898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_Toc3654 </w:instrText>
          </w:r>
          <w:r>
            <w:fldChar w:fldCharType="separate"/>
          </w:r>
          <w:r>
            <w:rPr>
              <w:rFonts w:hint="eastAsia" w:ascii="黑体" w:hAnsi="黑体" w:eastAsia="黑体"/>
            </w:rPr>
            <w:t>十、其他重要事项的情况说明</w:t>
          </w:r>
          <w:r>
            <w:tab/>
          </w:r>
          <w:r>
            <w:fldChar w:fldCharType="begin"/>
          </w:r>
          <w:r>
            <w:instrText xml:space="preserve"> PAGEREF _Toc3654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_Toc2437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_Toc2437 \h </w:instrText>
          </w:r>
          <w:r>
            <w:fldChar w:fldCharType="separate"/>
          </w:r>
          <w:r>
            <w:t>13</w:t>
          </w:r>
          <w:r>
            <w:fldChar w:fldCharType="end"/>
          </w:r>
          <w:r>
            <w:fldChar w:fldCharType="end"/>
          </w:r>
        </w:p>
        <w:p>
          <w:pPr>
            <w:pStyle w:val="11"/>
            <w:tabs>
              <w:tab w:val="right" w:leader="dot" w:pos="8306"/>
              <w:tab w:val="clear" w:pos="8296"/>
            </w:tabs>
          </w:pPr>
          <w:r>
            <w:fldChar w:fldCharType="begin"/>
          </w:r>
          <w:r>
            <w:instrText xml:space="preserve"> HYPERLINK \l _Toc17010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_Toc17010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_Toc3554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_Toc3554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_Toc9817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_Toc9817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_Toc5202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_Toc5202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_Toc27967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_Toc27967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_Toc24353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_Toc24353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_Toc9198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_Toc9198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_Toc5339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_Toc5339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_Toc6150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_Toc6150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_Toc4315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_Toc4315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_Toc21194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_Toc21194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_Toc11621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_Toc11621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_Toc2895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_Toc2895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_Toc31633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_Toc31633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_Toc21308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_Toc21308 \h </w:instrText>
          </w:r>
          <w:r>
            <w:fldChar w:fldCharType="separate"/>
          </w:r>
          <w:r>
            <w:t>16</w:t>
          </w:r>
          <w:r>
            <w:fldChar w:fldCharType="end"/>
          </w:r>
          <w:r>
            <w:fldChar w:fldCharType="end"/>
          </w:r>
        </w:p>
        <w:p>
          <w:pPr>
            <w:rPr>
              <w:rFonts w:ascii="Times New Roman" w:hAnsi="Times New Roman" w:eastAsia="宋体" w:cs="Times New Roman"/>
              <w:kern w:val="2"/>
              <w:sz w:val="21"/>
              <w:szCs w:val="24"/>
              <w:lang w:val="en-US" w:eastAsia="zh-CN" w:bidi="ar-SA"/>
            </w:rPr>
          </w:pPr>
          <w:r>
            <w:fldChar w:fldCharType="end"/>
          </w:r>
        </w:p>
      </w:sdtContent>
    </w:sdt>
    <w:p>
      <w:pPr>
        <w:pStyle w:val="18"/>
      </w:pPr>
    </w:p>
    <w:p/>
    <w:p>
      <w:pPr>
        <w:pStyle w:val="3"/>
        <w:jc w:val="center"/>
        <w:rPr>
          <w:rStyle w:val="27"/>
          <w:rFonts w:ascii="黑体" w:hAnsi="黑体" w:eastAsia="黑体"/>
          <w:b/>
          <w:bCs w:val="0"/>
        </w:rPr>
      </w:pPr>
      <w:bookmarkStart w:id="13" w:name="_Toc15396599"/>
      <w:bookmarkStart w:id="14" w:name="_Toc15377196"/>
      <w:bookmarkStart w:id="15" w:name="_Toc2892"/>
      <w:r>
        <w:rPr>
          <w:rFonts w:hint="eastAsia" w:ascii="黑体" w:hAnsi="黑体" w:eastAsia="黑体"/>
          <w:b w:val="0"/>
        </w:rPr>
        <w:t>第一部分 单位</w:t>
      </w:r>
      <w:r>
        <w:rPr>
          <w:rStyle w:val="27"/>
          <w:rFonts w:hint="eastAsia" w:ascii="黑体" w:hAnsi="黑体" w:eastAsia="黑体"/>
          <w:b w:val="0"/>
          <w:bCs w:val="0"/>
        </w:rPr>
        <w:t>概况</w:t>
      </w:r>
      <w:bookmarkEnd w:id="13"/>
      <w:bookmarkEnd w:id="14"/>
      <w:bookmarkEnd w:id="15"/>
    </w:p>
    <w:p>
      <w:pPr>
        <w:pStyle w:val="4"/>
        <w:numPr>
          <w:ilvl w:val="0"/>
          <w:numId w:val="1"/>
        </w:numPr>
        <w:rPr>
          <w:rStyle w:val="28"/>
          <w:rFonts w:ascii="黑体" w:hAnsi="黑体" w:eastAsia="黑体"/>
          <w:b w:val="0"/>
          <w:bCs w:val="0"/>
        </w:rPr>
      </w:pPr>
      <w:bookmarkStart w:id="16" w:name="_Toc13004"/>
      <w:bookmarkStart w:id="17" w:name="_Toc15396600"/>
      <w:bookmarkStart w:id="18" w:name="_Toc15377197"/>
      <w:r>
        <w:rPr>
          <w:rStyle w:val="28"/>
          <w:rFonts w:hint="eastAsia" w:ascii="黑体" w:hAnsi="黑体" w:eastAsia="黑体"/>
          <w:b w:val="0"/>
          <w:bCs w:val="0"/>
        </w:rPr>
        <w:t>主要职责</w:t>
      </w:r>
      <w:bookmarkEnd w:id="16"/>
    </w:p>
    <w:p>
      <w:pPr>
        <w:snapToGrid w:val="0"/>
        <w:spacing w:line="520" w:lineRule="exact"/>
        <w:ind w:firstLine="420" w:firstLineChars="200"/>
        <w:rPr>
          <w:rFonts w:ascii="仿宋_GB2312" w:hAnsi="新宋体" w:eastAsia="仿宋_GB2312" w:cs="仿宋_GB2312"/>
          <w:sz w:val="32"/>
          <w:szCs w:val="32"/>
        </w:rPr>
      </w:pPr>
      <w:r>
        <w:rPr>
          <w:rFonts w:hint="eastAsia"/>
        </w:rPr>
        <w:t xml:space="preserve"> </w:t>
      </w:r>
      <w:r>
        <w:rPr>
          <w:rFonts w:hint="eastAsia" w:ascii="仿宋_GB2312" w:hAnsi="新宋体" w:eastAsia="仿宋_GB2312" w:cs="仿宋_GB2312"/>
          <w:sz w:val="32"/>
          <w:szCs w:val="32"/>
        </w:rPr>
        <w:t>广元市救助管理站负责为全市生活无着的流浪乞讨人员提供救助服务，承担我省对北方十省（市、区）跨省救助业务，为农村留守儿童和困境未成年人提供关爱、保护，为家庭暴力受害者提供临时庇护等。</w:t>
      </w:r>
    </w:p>
    <w:p>
      <w:pPr>
        <w:snapToGrid w:val="0"/>
        <w:spacing w:line="520" w:lineRule="exact"/>
        <w:ind w:firstLine="640" w:firstLineChars="200"/>
        <w:rPr>
          <w:rFonts w:hint="eastAsia" w:ascii="仿宋_GB2312" w:hAnsi="新宋体" w:eastAsia="仿宋_GB2312" w:cs="仿宋_GB2312"/>
          <w:sz w:val="32"/>
          <w:szCs w:val="32"/>
        </w:rPr>
      </w:pPr>
      <w:r>
        <w:rPr>
          <w:rFonts w:hint="eastAsia" w:ascii="仿宋_GB2312" w:hAnsi="新宋体" w:eastAsia="仿宋_GB2312" w:cs="仿宋_GB2312"/>
          <w:sz w:val="32"/>
          <w:szCs w:val="32"/>
        </w:rPr>
        <w:t>1、认真研究市局下达的目标任务，结合我站实际制定全年工作计划，确保高质量、高标准完成全年救助工作和未保工作目标任务。</w:t>
      </w:r>
    </w:p>
    <w:p>
      <w:pPr>
        <w:snapToGrid w:val="0"/>
        <w:spacing w:line="520" w:lineRule="exact"/>
        <w:ind w:firstLine="640" w:firstLineChars="200"/>
        <w:rPr>
          <w:rFonts w:hint="eastAsia" w:ascii="仿宋_GB2312" w:hAnsi="新宋体" w:eastAsia="仿宋_GB2312" w:cs="仿宋_GB2312"/>
          <w:sz w:val="32"/>
          <w:szCs w:val="32"/>
        </w:rPr>
      </w:pPr>
      <w:r>
        <w:rPr>
          <w:rFonts w:hint="eastAsia" w:ascii="仿宋_GB2312" w:hAnsi="新宋体" w:eastAsia="仿宋_GB2312" w:cs="仿宋_GB2312"/>
          <w:sz w:val="32"/>
          <w:szCs w:val="32"/>
        </w:rPr>
        <w:t xml:space="preserve"> 2、延展“2+2+N”服务工作内涵，契合“双减”大政策，科学分配资源，优化服务质量，创新服务方式。</w:t>
      </w:r>
    </w:p>
    <w:p>
      <w:pPr>
        <w:snapToGrid w:val="0"/>
        <w:spacing w:line="520" w:lineRule="exact"/>
        <w:ind w:firstLine="640" w:firstLineChars="200"/>
        <w:rPr>
          <w:rFonts w:hint="eastAsia" w:ascii="仿宋_GB2312" w:hAnsi="新宋体" w:eastAsia="仿宋_GB2312" w:cs="仿宋_GB2312"/>
          <w:sz w:val="32"/>
          <w:szCs w:val="32"/>
        </w:rPr>
      </w:pPr>
      <w:r>
        <w:rPr>
          <w:rFonts w:hint="eastAsia" w:ascii="仿宋_GB2312" w:hAnsi="新宋体" w:eastAsia="仿宋_GB2312" w:cs="仿宋_GB2312"/>
          <w:sz w:val="32"/>
          <w:szCs w:val="32"/>
        </w:rPr>
        <w:t xml:space="preserve">  3、持续推动项目建设，加快推进广元市未成年人社会保护中心未成年人救助保护机构能力建设项目。</w:t>
      </w:r>
    </w:p>
    <w:p>
      <w:pPr>
        <w:snapToGrid w:val="0"/>
        <w:spacing w:line="520" w:lineRule="exact"/>
        <w:ind w:firstLine="640" w:firstLineChars="200"/>
        <w:rPr>
          <w:rFonts w:hint="eastAsia"/>
        </w:rPr>
      </w:pPr>
      <w:r>
        <w:rPr>
          <w:rFonts w:hint="eastAsia" w:ascii="仿宋_GB2312" w:hAnsi="新宋体" w:eastAsia="仿宋_GB2312" w:cs="仿宋_GB2312"/>
          <w:sz w:val="32"/>
          <w:szCs w:val="32"/>
        </w:rPr>
        <w:t>4、健全完善各项安全生产制度和突发事件应急预案，常态化检查站内各类设施设备，做好安全台账记录，定期开展安全培训及现场演习，确保不出现安全事故。</w:t>
      </w:r>
    </w:p>
    <w:p>
      <w:pPr>
        <w:pStyle w:val="4"/>
        <w:rPr>
          <w:rFonts w:ascii="黑体" w:hAnsi="黑体" w:eastAsia="黑体"/>
          <w:b w:val="0"/>
        </w:rPr>
      </w:pPr>
      <w:bookmarkStart w:id="19" w:name="_Toc5095"/>
      <w:r>
        <w:rPr>
          <w:rFonts w:hint="eastAsia" w:ascii="黑体" w:hAnsi="黑体" w:eastAsia="黑体"/>
          <w:b w:val="0"/>
        </w:rPr>
        <w:t>二、机构设置</w:t>
      </w:r>
      <w:bookmarkEnd w:id="19"/>
    </w:p>
    <w:p>
      <w:pPr>
        <w:spacing w:line="576" w:lineRule="exact"/>
        <w:ind w:firstLine="420" w:firstLineChars="200"/>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我单位为市民政局下属二级预算单位，本单位</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下属机构，设有内设机构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w:t>
      </w:r>
    </w:p>
    <w:p>
      <w:pPr>
        <w:rPr>
          <w:rFonts w:hint="eastAsia"/>
        </w:rPr>
      </w:pPr>
    </w:p>
    <w:bookmarkEnd w:id="17"/>
    <w:bookmarkEnd w:id="18"/>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20" w:name="_Toc15396602"/>
      <w:bookmarkStart w:id="21" w:name="_Toc26294"/>
      <w:bookmarkStart w:id="22"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0"/>
      <w:bookmarkEnd w:id="21"/>
      <w:bookmarkEnd w:id="22"/>
    </w:p>
    <w:p/>
    <w:p>
      <w:pPr>
        <w:pStyle w:val="26"/>
        <w:numPr>
          <w:ilvl w:val="0"/>
          <w:numId w:val="2"/>
        </w:numPr>
        <w:spacing w:line="600" w:lineRule="exact"/>
        <w:ind w:firstLineChars="0"/>
        <w:outlineLvl w:val="1"/>
        <w:rPr>
          <w:rStyle w:val="28"/>
          <w:rFonts w:ascii="黑体" w:hAnsi="黑体" w:eastAsia="黑体"/>
          <w:b w:val="0"/>
        </w:rPr>
      </w:pPr>
      <w:bookmarkStart w:id="23" w:name="_Toc15396603"/>
      <w:bookmarkStart w:id="24" w:name="_Toc15377205"/>
      <w:bookmarkStart w:id="25" w:name="_Toc21783"/>
      <w:r>
        <w:rPr>
          <w:rFonts w:hint="eastAsia" w:ascii="黑体" w:hAnsi="黑体" w:eastAsia="黑体"/>
          <w:sz w:val="32"/>
          <w:szCs w:val="32"/>
        </w:rPr>
        <w:t>收</w:t>
      </w:r>
      <w:r>
        <w:rPr>
          <w:rStyle w:val="28"/>
          <w:rFonts w:hint="eastAsia" w:ascii="黑体" w:hAnsi="黑体" w:eastAsia="黑体"/>
          <w:b w:val="0"/>
        </w:rPr>
        <w:t>入支出决算总体情况说明</w:t>
      </w:r>
      <w:bookmarkEnd w:id="23"/>
      <w:bookmarkEnd w:id="24"/>
      <w:bookmarkEnd w:id="25"/>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2023年度收、支总计均为</w:t>
      </w:r>
      <w:bookmarkStart w:id="26" w:name="_Hlk178332892"/>
      <w:r>
        <w:rPr>
          <w:rFonts w:hint="eastAsia" w:ascii="仿宋_GB2312" w:hAnsi="仿宋_GB2312" w:eastAsia="仿宋_GB2312" w:cs="仿宋_GB2312"/>
          <w:sz w:val="32"/>
          <w:szCs w:val="32"/>
        </w:rPr>
        <w:t>1678.34</w:t>
      </w:r>
      <w:bookmarkEnd w:id="26"/>
      <w:r>
        <w:rPr>
          <w:rFonts w:hint="eastAsia" w:ascii="仿宋_GB2312" w:hAnsi="仿宋_GB2312" w:eastAsia="仿宋_GB2312" w:cs="仿宋_GB2312"/>
          <w:sz w:val="32"/>
          <w:szCs w:val="32"/>
        </w:rPr>
        <w:t>万元。与2022年度相比，收、支总计各增加</w:t>
      </w:r>
      <w:r>
        <w:rPr>
          <w:rFonts w:ascii="仿宋_GB2312" w:hAnsi="仿宋_GB2312" w:eastAsia="仿宋_GB2312" w:cs="仿宋_GB2312"/>
          <w:sz w:val="32"/>
          <w:szCs w:val="32"/>
        </w:rPr>
        <w:t>226.18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15.6%</w:t>
      </w:r>
      <w:r>
        <w:rPr>
          <w:rFonts w:hint="eastAsia" w:ascii="仿宋_GB2312" w:hAnsi="仿宋_GB2312" w:eastAsia="仿宋_GB2312" w:cs="仿宋_GB2312"/>
          <w:sz w:val="32"/>
          <w:szCs w:val="32"/>
        </w:rPr>
        <w:t>。主要变动原因是当年项目经费增加。</w:t>
      </w:r>
    </w:p>
    <w:p>
      <w:pPr>
        <w:pStyle w:val="18"/>
        <w:rPr>
          <w:rFonts w:hint="eastAsia"/>
        </w:rPr>
      </w:pPr>
      <w:r>
        <w:drawing>
          <wp:inline distT="0" distB="0" distL="0" distR="0">
            <wp:extent cx="4826000" cy="2743200"/>
            <wp:effectExtent l="0" t="0" r="1270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27" w:name="_Toc15377206"/>
      <w:bookmarkStart w:id="28" w:name="_Toc15396604"/>
      <w:bookmarkStart w:id="29" w:name="_Toc14842"/>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2023年度本年收入合计</w:t>
      </w:r>
      <w:bookmarkStart w:id="30" w:name="_Hlk178332911"/>
      <w:r>
        <w:rPr>
          <w:rFonts w:ascii="仿宋_GB2312" w:hAnsi="仿宋_GB2312" w:eastAsia="仿宋_GB2312" w:cs="仿宋_GB2312"/>
          <w:sz w:val="32"/>
          <w:szCs w:val="32"/>
        </w:rPr>
        <w:t>1652.36</w:t>
      </w:r>
      <w:bookmarkEnd w:id="30"/>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1652.36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pStyle w:val="18"/>
        <w:rPr>
          <w:rFonts w:ascii="仿宋" w:hAnsi="仿宋" w:eastAsia="仿宋"/>
          <w:sz w:val="32"/>
          <w:szCs w:val="32"/>
        </w:rPr>
      </w:pPr>
      <w:r>
        <w:drawing>
          <wp:inline distT="0" distB="0" distL="0" distR="0">
            <wp:extent cx="4826000" cy="2628900"/>
            <wp:effectExtent l="0" t="0" r="1270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（图2：收入决算结构图）</w:t>
      </w:r>
    </w:p>
    <w:p>
      <w:pPr>
        <w:pStyle w:val="26"/>
        <w:numPr>
          <w:ilvl w:val="0"/>
          <w:numId w:val="2"/>
        </w:numPr>
        <w:spacing w:line="600" w:lineRule="exact"/>
        <w:ind w:firstLineChars="0"/>
        <w:outlineLvl w:val="1"/>
        <w:rPr>
          <w:rStyle w:val="28"/>
          <w:rFonts w:ascii="黑体" w:hAnsi="黑体" w:eastAsia="黑体"/>
          <w:b w:val="0"/>
        </w:rPr>
      </w:pPr>
      <w:bookmarkStart w:id="31" w:name="_Toc15396605"/>
      <w:bookmarkStart w:id="32" w:name="_Toc3569"/>
      <w:bookmarkStart w:id="33" w:name="_Toc15377207"/>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2023年度本年支出合计</w:t>
      </w:r>
      <w:r>
        <w:rPr>
          <w:rFonts w:ascii="仿宋_GB2312" w:hAnsi="仿宋_GB2312" w:eastAsia="仿宋_GB2312" w:cs="仿宋_GB2312"/>
          <w:sz w:val="32"/>
          <w:szCs w:val="32"/>
        </w:rPr>
        <w:t>1678.34</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1041.03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.03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637.31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37.97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18"/>
        <w:rPr>
          <w:rFonts w:hint="eastAsia"/>
        </w:rPr>
      </w:pPr>
      <w:r>
        <w:drawing>
          <wp:inline distT="0" distB="0" distL="0" distR="0">
            <wp:extent cx="4731385" cy="2743200"/>
            <wp:effectExtent l="0" t="0" r="1206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34" w:name="_Toc4632"/>
      <w:bookmarkStart w:id="35" w:name="_Toc15377208"/>
      <w:bookmarkStart w:id="36"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4"/>
      <w:bookmarkEnd w:id="35"/>
      <w:bookmarkEnd w:id="3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2023年度财政拨款收、支总计均为</w:t>
      </w:r>
      <w:r>
        <w:rPr>
          <w:rFonts w:ascii="仿宋_GB2312" w:hAnsi="仿宋_GB2312" w:eastAsia="仿宋_GB2312" w:cs="仿宋_GB2312"/>
          <w:sz w:val="32"/>
          <w:szCs w:val="32"/>
        </w:rPr>
        <w:t>1678.34</w:t>
      </w:r>
      <w:r>
        <w:rPr>
          <w:rFonts w:hint="eastAsia" w:ascii="仿宋_GB2312" w:hAnsi="仿宋_GB2312" w:eastAsia="仿宋_GB2312" w:cs="仿宋_GB2312"/>
          <w:sz w:val="32"/>
          <w:szCs w:val="32"/>
        </w:rPr>
        <w:t>万元。与2022年度相比，财政拨款收、支总计各增加</w:t>
      </w:r>
      <w:r>
        <w:rPr>
          <w:rFonts w:ascii="仿宋_GB2312" w:hAnsi="仿宋_GB2312" w:eastAsia="仿宋_GB2312" w:cs="仿宋_GB2312"/>
          <w:sz w:val="32"/>
          <w:szCs w:val="32"/>
        </w:rPr>
        <w:t>226.18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15.6%</w:t>
      </w:r>
      <w:r>
        <w:rPr>
          <w:rFonts w:hint="eastAsia" w:ascii="仿宋_GB2312" w:hAnsi="仿宋_GB2312" w:eastAsia="仿宋_GB2312" w:cs="仿宋_GB2312"/>
          <w:sz w:val="32"/>
          <w:szCs w:val="32"/>
        </w:rPr>
        <w:t>。主要变动原因是当年项目经费增加。</w:t>
      </w:r>
    </w:p>
    <w:p>
      <w:pPr>
        <w:pStyle w:val="18"/>
        <w:rPr>
          <w:rFonts w:hint="eastAsia"/>
        </w:rPr>
      </w:pPr>
      <w:r>
        <w:drawing>
          <wp:inline distT="0" distB="0" distL="0" distR="0">
            <wp:extent cx="4826000" cy="2743200"/>
            <wp:effectExtent l="0" t="0" r="1270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8"/>
          <w:rFonts w:ascii="黑体" w:hAnsi="黑体" w:eastAsia="黑体"/>
          <w:b w:val="0"/>
        </w:rPr>
      </w:pPr>
      <w:bookmarkStart w:id="37" w:name="_Toc15396607"/>
      <w:bookmarkStart w:id="38" w:name="_Toc15377209"/>
      <w:bookmarkStart w:id="39" w:name="_Toc11694"/>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bookmarkStart w:id="40" w:name="_Toc15377210"/>
      <w:r>
        <w:rPr>
          <w:rFonts w:hint="eastAsia" w:ascii="仿宋" w:hAnsi="仿宋" w:eastAsia="仿宋"/>
          <w:b/>
          <w:sz w:val="32"/>
          <w:szCs w:val="32"/>
        </w:rPr>
        <w:t>（一）一般公共预算财政拨款支出决算总体情况</w:t>
      </w:r>
      <w:bookmarkEnd w:id="4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w:t>
      </w:r>
      <w:r>
        <w:rPr>
          <w:rFonts w:ascii="仿宋_GB2312" w:hAnsi="仿宋_GB2312" w:eastAsia="仿宋_GB2312" w:cs="仿宋_GB2312"/>
          <w:sz w:val="32"/>
          <w:szCs w:val="32"/>
        </w:rPr>
        <w:t>1678.34</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。与2022年度相比，一般公共预算财政拨款支出增加</w:t>
      </w:r>
      <w:r>
        <w:rPr>
          <w:rFonts w:ascii="仿宋_GB2312" w:hAnsi="仿宋_GB2312" w:eastAsia="仿宋_GB2312" w:cs="仿宋_GB2312"/>
          <w:sz w:val="32"/>
          <w:szCs w:val="32"/>
        </w:rPr>
        <w:t>226.18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15.6%</w:t>
      </w:r>
      <w:r>
        <w:rPr>
          <w:rFonts w:hint="eastAsia" w:ascii="仿宋_GB2312" w:hAnsi="仿宋_GB2312" w:eastAsia="仿宋_GB2312" w:cs="仿宋_GB2312"/>
          <w:sz w:val="32"/>
          <w:szCs w:val="32"/>
        </w:rPr>
        <w:t>。主要变动原因是当年项目经费增加。</w:t>
      </w:r>
    </w:p>
    <w:p>
      <w:pPr>
        <w:pStyle w:val="18"/>
        <w:rPr>
          <w:rFonts w:hint="eastAsia"/>
        </w:rPr>
      </w:pPr>
      <w:r>
        <w:drawing>
          <wp:inline distT="0" distB="0" distL="0" distR="0">
            <wp:extent cx="4826000" cy="2743200"/>
            <wp:effectExtent l="0" t="0" r="1270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 w:hAnsi="仿宋" w:eastAsia="仿宋"/>
          <w:b/>
          <w:sz w:val="32"/>
          <w:szCs w:val="32"/>
        </w:rPr>
      </w:pPr>
      <w:bookmarkStart w:id="41" w:name="_Toc15377211"/>
      <w:r>
        <w:rPr>
          <w:rFonts w:hint="eastAsia" w:ascii="仿宋" w:hAnsi="仿宋" w:eastAsia="仿宋"/>
          <w:b/>
          <w:sz w:val="32"/>
          <w:szCs w:val="32"/>
        </w:rPr>
        <w:t>（二）一般公共预算财政拨款支出决算结构情况</w:t>
      </w:r>
      <w:bookmarkEnd w:id="41"/>
    </w:p>
    <w:p>
      <w:pPr>
        <w:spacing w:line="600" w:lineRule="exact"/>
        <w:ind w:firstLine="640"/>
        <w:rPr>
          <w:rFonts w:ascii="仿宋" w:hAnsi="仿宋" w:eastAsia="仿宋"/>
          <w:sz w:val="32"/>
          <w:szCs w:val="32"/>
        </w:rPr>
      </w:pPr>
      <w:r>
        <w:rPr>
          <w:rFonts w:hint="eastAsia" w:ascii="仿宋_GB2312" w:hAnsi="仿宋_GB2312" w:eastAsia="仿宋_GB2312" w:cs="仿宋_GB2312"/>
          <w:sz w:val="32"/>
          <w:szCs w:val="32"/>
        </w:rPr>
        <w:t>2023年度一般公共预算财政拨款支出</w:t>
      </w:r>
      <w:r>
        <w:rPr>
          <w:rFonts w:ascii="仿宋_GB2312" w:hAnsi="仿宋_GB2312" w:eastAsia="仿宋_GB2312" w:cs="仿宋_GB2312"/>
          <w:sz w:val="32"/>
          <w:szCs w:val="32"/>
        </w:rPr>
        <w:t>1678.34</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sz w:val="32"/>
          <w:szCs w:val="32"/>
        </w:rPr>
        <w:t>社会保障和就业支出</w:t>
      </w:r>
      <w:r>
        <w:rPr>
          <w:rFonts w:ascii="仿宋_GB2312" w:hAnsi="仿宋_GB2312" w:eastAsia="仿宋_GB2312" w:cs="仿宋_GB2312"/>
          <w:sz w:val="32"/>
          <w:szCs w:val="32"/>
        </w:rPr>
        <w:t>1,568.91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93.5%</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卫生健康支出</w:t>
      </w:r>
      <w:r>
        <w:rPr>
          <w:rFonts w:ascii="仿宋_GB2312" w:hAnsi="仿宋_GB2312" w:eastAsia="仿宋_GB2312" w:cs="仿宋_GB2312"/>
          <w:sz w:val="32"/>
          <w:szCs w:val="32"/>
        </w:rPr>
        <w:t>29.42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住房保障支出</w:t>
      </w:r>
      <w:r>
        <w:rPr>
          <w:rFonts w:ascii="仿宋_GB2312" w:hAnsi="仿宋_GB2312" w:eastAsia="仿宋_GB2312" w:cs="仿宋_GB2312"/>
          <w:sz w:val="32"/>
          <w:szCs w:val="32"/>
        </w:rPr>
        <w:t>80.01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w:t>
      </w:r>
    </w:p>
    <w:p>
      <w:pPr>
        <w:pStyle w:val="18"/>
        <w:rPr>
          <w:rFonts w:hint="eastAsia"/>
        </w:rPr>
      </w:pPr>
      <w:r>
        <w:drawing>
          <wp:inline distT="0" distB="0" distL="0" distR="0">
            <wp:extent cx="4572000" cy="291465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_GB2312" w:hAnsi="仿宋_GB2312" w:eastAsia="仿宋_GB2312" w:cs="仿宋_GB2312"/>
          <w:b/>
          <w:sz w:val="32"/>
          <w:szCs w:val="32"/>
        </w:rPr>
      </w:pPr>
      <w:bookmarkStart w:id="42" w:name="_Toc15377212"/>
      <w:r>
        <w:rPr>
          <w:rFonts w:hint="eastAsia" w:ascii="仿宋_GB2312" w:hAnsi="仿宋_GB2312" w:eastAsia="仿宋_GB2312" w:cs="仿宋_GB2312"/>
          <w:b/>
          <w:sz w:val="32"/>
          <w:szCs w:val="32"/>
        </w:rPr>
        <w:t>（三）一般公共预算财政拨款支出决算具体情况</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ascii="仿宋_GB2312" w:hAnsi="仿宋_GB2312" w:eastAsia="仿宋_GB2312" w:cs="仿宋_GB2312"/>
          <w:b/>
          <w:sz w:val="32"/>
          <w:szCs w:val="32"/>
        </w:rPr>
      </w:pPr>
      <w:bookmarkStart w:id="43" w:name="_Toc15377213"/>
      <w:bookmarkStart w:id="44" w:name="_Toc15377444"/>
      <w:bookmarkStart w:id="45" w:name="_Toc15378460"/>
      <w:r>
        <w:rPr>
          <w:rFonts w:hint="eastAsia" w:ascii="仿宋_GB2312" w:hAnsi="仿宋_GB2312" w:eastAsia="仿宋_GB2312" w:cs="仿宋_GB2312"/>
          <w:b/>
          <w:sz w:val="32"/>
          <w:szCs w:val="32"/>
        </w:rPr>
        <w:t>2023年度一般公共预算支出决算数为</w:t>
      </w:r>
      <w:r>
        <w:rPr>
          <w:rFonts w:ascii="仿宋_GB2312" w:hAnsi="仿宋_GB2312" w:eastAsia="仿宋_GB2312" w:cs="仿宋_GB2312"/>
          <w:b/>
          <w:sz w:val="32"/>
          <w:szCs w:val="32"/>
        </w:rPr>
        <w:t>1678.34</w:t>
      </w:r>
      <w:r>
        <w:rPr>
          <w:rFonts w:hint="eastAsia" w:ascii="仿宋_GB2312" w:hAnsi="仿宋_GB2312" w:eastAsia="仿宋_GB2312" w:cs="仿宋_GB2312"/>
          <w:b/>
          <w:sz w:val="32"/>
          <w:szCs w:val="32"/>
        </w:rPr>
        <w:t>，完成预算</w:t>
      </w:r>
      <w:r>
        <w:rPr>
          <w:rFonts w:ascii="仿宋_GB2312" w:hAnsi="仿宋_GB2312" w:eastAsia="仿宋_GB2312" w:cs="仿宋_GB2312"/>
          <w:b/>
          <w:sz w:val="32"/>
          <w:szCs w:val="32"/>
        </w:rPr>
        <w:t>100%</w:t>
      </w:r>
      <w:r>
        <w:rPr>
          <w:rFonts w:hint="eastAsia" w:ascii="仿宋_GB2312" w:hAnsi="仿宋_GB2312" w:eastAsia="仿宋_GB2312" w:cs="仿宋_GB2312"/>
          <w:b/>
          <w:sz w:val="32"/>
          <w:szCs w:val="32"/>
        </w:rPr>
        <w:t>。其中：</w:t>
      </w:r>
      <w:bookmarkEnd w:id="43"/>
      <w:bookmarkEnd w:id="44"/>
      <w:bookmarkEnd w:id="45"/>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社会保障和就业支出（类）行政事业单位养老支出（款）机关事业单位基本养老保险缴费支出（项）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103.48</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社会保障和就业支出（类）行政事业单位养老支出（款）机关事业单位职业年金缴费支出（项）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25.64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社会保障和就业支出（类）社会福利（款）社会福利事业单位（项）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246.07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社会保障和就业支出（类）临时救助（款）流浪乞讨人员救助支出（项）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1019.44</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社会保障和就业支出（类）其他社会保障和就业支出（款）其他社会保障和就业支出（项）</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174.27</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rPr>
          <w:rStyle w:val="16"/>
          <w:rFonts w:ascii="仿宋" w:hAnsi="仿宋" w:eastAsia="仿宋"/>
          <w:b w:val="0"/>
          <w:bCs/>
          <w:sz w:val="32"/>
          <w:szCs w:val="32"/>
        </w:rPr>
      </w:pPr>
      <w:r>
        <w:rPr>
          <w:rFonts w:hint="eastAsia" w:ascii="仿宋_GB2312" w:hAnsi="仿宋_GB2312" w:eastAsia="仿宋_GB2312" w:cs="仿宋_GB2312"/>
          <w:b/>
          <w:sz w:val="32"/>
          <w:szCs w:val="32"/>
          <w:lang w:val="en-US" w:eastAsia="zh-CN"/>
        </w:rPr>
        <w:t>6</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卫生健康支出（类）行政事业单位医疗（款）事业单位医疗（项）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29.42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7</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住房保障支出（类）住房改革支出（款）住房公积金（项）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支出决算为</w:t>
      </w:r>
      <w:r>
        <w:rPr>
          <w:rFonts w:ascii="仿宋_GB2312" w:hAnsi="仿宋_GB2312" w:eastAsia="仿宋_GB2312" w:cs="仿宋_GB2312"/>
          <w:sz w:val="32"/>
          <w:szCs w:val="32"/>
        </w:rPr>
        <w:t>80.01</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tabs>
          <w:tab w:val="right" w:pos="8306"/>
        </w:tabs>
        <w:spacing w:line="600" w:lineRule="exact"/>
        <w:ind w:firstLine="640"/>
        <w:outlineLvl w:val="1"/>
        <w:rPr>
          <w:rStyle w:val="28"/>
        </w:rPr>
      </w:pPr>
      <w:bookmarkStart w:id="46" w:name="_Toc15377214"/>
      <w:bookmarkStart w:id="47" w:name="_Toc15396608"/>
      <w:bookmarkStart w:id="48" w:name="_Toc1081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6"/>
      <w:bookmarkEnd w:id="47"/>
      <w:bookmarkEnd w:id="48"/>
      <w:r>
        <w:rPr>
          <w:rStyle w:val="28"/>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2023年度一般公共预算财政拨款基本支出</w:t>
      </w:r>
      <w:r>
        <w:rPr>
          <w:rFonts w:ascii="仿宋_GB2312" w:hAnsi="仿宋_GB2312" w:eastAsia="仿宋_GB2312" w:cs="仿宋_GB2312"/>
          <w:sz w:val="32"/>
          <w:szCs w:val="32"/>
        </w:rPr>
        <w:t>1041.03</w:t>
      </w:r>
      <w:r>
        <w:rPr>
          <w:rFonts w:hint="eastAsia" w:ascii="仿宋_GB2312" w:hAnsi="仿宋_GB2312" w:eastAsia="仿宋_GB2312" w:cs="仿宋_GB2312"/>
          <w:sz w:val="32"/>
          <w:szCs w:val="32"/>
        </w:rPr>
        <w:t>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954.54</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万元，主要包括：基本工资、津贴补贴、奖金、绩效工资、机关事业单位基本养老保险缴费、职业年金缴费、职工基本医疗保险缴费、其他社会保障缴费、住房公积金、生活补助、其他对个人和家庭的补助支出。</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ascii="仿宋_GB2312" w:hAnsi="仿宋_GB2312" w:eastAsia="仿宋_GB2312" w:cs="仿宋_GB2312"/>
          <w:sz w:val="32"/>
          <w:szCs w:val="32"/>
        </w:rPr>
        <w:t>86.49</w:t>
      </w:r>
      <w:r>
        <w:rPr>
          <w:rFonts w:hint="eastAsia" w:ascii="仿宋_GB2312" w:hAnsi="仿宋_GB2312" w:eastAsia="仿宋_GB2312" w:cs="仿宋_GB2312"/>
          <w:sz w:val="32"/>
          <w:szCs w:val="32"/>
        </w:rPr>
        <w:t>万元，主要包括：办公费、印刷费、咨询费、水费、电费、邮电费、物业管理费、差旅费、维修（护）费、公务接待费、劳务费、工会经费、福利费、公务用车运行维护费、其他商品和服务支出。</w:t>
      </w:r>
    </w:p>
    <w:p>
      <w:pPr>
        <w:spacing w:line="600" w:lineRule="exact"/>
        <w:ind w:firstLine="640"/>
        <w:outlineLvl w:val="1"/>
        <w:rPr>
          <w:rStyle w:val="28"/>
          <w:rFonts w:ascii="黑体" w:hAnsi="黑体" w:eastAsia="黑体"/>
          <w:b w:val="0"/>
        </w:rPr>
      </w:pPr>
      <w:bookmarkStart w:id="49" w:name="_Toc12379"/>
      <w:bookmarkStart w:id="50" w:name="_Toc15396609"/>
      <w:bookmarkStart w:id="51"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9"/>
      <w:bookmarkEnd w:id="50"/>
      <w:bookmarkEnd w:id="51"/>
    </w:p>
    <w:p>
      <w:pPr>
        <w:keepNext w:val="0"/>
        <w:keepLines w:val="0"/>
        <w:pageBreakBefore w:val="0"/>
        <w:widowControl w:val="0"/>
        <w:kinsoku/>
        <w:wordWrap/>
        <w:overflowPunct/>
        <w:topLinePunct w:val="0"/>
        <w:autoSpaceDE w:val="0"/>
        <w:autoSpaceDN w:val="0"/>
        <w:bidi w:val="0"/>
        <w:snapToGrid/>
        <w:spacing w:line="600" w:lineRule="exact"/>
        <w:ind w:firstLine="640"/>
        <w:textAlignment w:val="auto"/>
        <w:outlineLvl w:val="9"/>
        <w:rPr>
          <w:rFonts w:ascii="仿宋" w:hAnsi="仿宋" w:eastAsia="仿宋"/>
          <w:b/>
          <w:sz w:val="32"/>
          <w:szCs w:val="32"/>
        </w:rPr>
      </w:pPr>
      <w:bookmarkStart w:id="52" w:name="_Toc15377216"/>
      <w:r>
        <w:rPr>
          <w:rFonts w:hint="eastAsia" w:ascii="仿宋" w:hAnsi="仿宋" w:eastAsia="仿宋"/>
          <w:b/>
          <w:sz w:val="32"/>
          <w:szCs w:val="32"/>
        </w:rPr>
        <w:t>（一）“三公”经费财政拨款支出决算总体情况说明</w:t>
      </w:r>
      <w:bookmarkEnd w:id="52"/>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2023年度“三公”经费财政拨款支出决算为</w:t>
      </w:r>
      <w:r>
        <w:rPr>
          <w:rFonts w:ascii="仿宋_GB2312" w:hAnsi="仿宋_GB2312" w:eastAsia="仿宋_GB2312" w:cs="仿宋_GB2312"/>
          <w:sz w:val="32"/>
          <w:szCs w:val="32"/>
        </w:rPr>
        <w:t>6.42</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91.75%</w:t>
      </w:r>
      <w:r>
        <w:rPr>
          <w:rFonts w:hint="eastAsia" w:ascii="仿宋_GB2312" w:hAnsi="仿宋_GB2312" w:eastAsia="仿宋_GB2312" w:cs="仿宋_GB2312"/>
          <w:sz w:val="32"/>
          <w:szCs w:val="32"/>
        </w:rPr>
        <w:t>，较上年度增加</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68.4</w:t>
      </w:r>
      <w:r>
        <w:rPr>
          <w:rFonts w:hint="eastAsia" w:ascii="仿宋_GB2312" w:hAnsi="仿宋_GB2312" w:eastAsia="仿宋_GB2312" w:cs="仿宋_GB2312"/>
          <w:sz w:val="32"/>
          <w:szCs w:val="32"/>
        </w:rPr>
        <w:t>%。决算数小于预算数的主要原因是单位厉行节约，支出减少。</w:t>
      </w:r>
    </w:p>
    <w:p>
      <w:pPr>
        <w:keepNext w:val="0"/>
        <w:keepLines w:val="0"/>
        <w:pageBreakBefore w:val="0"/>
        <w:widowControl w:val="0"/>
        <w:kinsoku/>
        <w:wordWrap/>
        <w:overflowPunct/>
        <w:topLinePunct w:val="0"/>
        <w:autoSpaceDE w:val="0"/>
        <w:autoSpaceDN w:val="0"/>
        <w:bidi w:val="0"/>
        <w:snapToGrid/>
        <w:spacing w:line="600" w:lineRule="exact"/>
        <w:ind w:firstLine="640"/>
        <w:textAlignment w:val="auto"/>
        <w:outlineLvl w:val="9"/>
        <w:rPr>
          <w:rFonts w:ascii="仿宋" w:hAnsi="仿宋" w:eastAsia="仿宋"/>
          <w:b/>
          <w:sz w:val="32"/>
          <w:szCs w:val="32"/>
        </w:rPr>
      </w:pPr>
      <w:bookmarkStart w:id="53" w:name="_Toc15377217"/>
      <w:r>
        <w:rPr>
          <w:rFonts w:hint="eastAsia" w:ascii="仿宋" w:hAnsi="仿宋" w:eastAsia="仿宋"/>
          <w:b/>
          <w:sz w:val="32"/>
          <w:szCs w:val="32"/>
        </w:rPr>
        <w:t>（二）“三公”经费财政拨款支出决算具体情况说明</w:t>
      </w:r>
      <w:bookmarkEnd w:id="5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62.2%</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2.42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37.8%</w:t>
      </w:r>
      <w:r>
        <w:rPr>
          <w:rFonts w:hint="eastAsia" w:ascii="仿宋_GB2312" w:hAnsi="仿宋_GB2312" w:eastAsia="仿宋_GB2312" w:cs="仿宋_GB2312"/>
          <w:sz w:val="32"/>
          <w:szCs w:val="32"/>
        </w:rPr>
        <w:t>。具体情况如下：</w:t>
      </w:r>
    </w:p>
    <w:p>
      <w:pPr>
        <w:pStyle w:val="18"/>
        <w:rPr>
          <w:rFonts w:hint="eastAsia"/>
        </w:rPr>
      </w:pPr>
      <w:r>
        <w:drawing>
          <wp:inline distT="0" distB="0" distL="0" distR="0">
            <wp:extent cx="45720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bookmarkStart w:id="54" w:name="_Toc15377218"/>
      <w:bookmarkStart w:id="55" w:name="_Toc15396610"/>
    </w:p>
    <w:p>
      <w:pPr>
        <w:spacing w:line="600" w:lineRule="exact"/>
        <w:rPr>
          <w:rStyle w:val="16"/>
          <w:rFonts w:ascii="仿宋" w:hAnsi="仿宋" w:eastAsia="仿宋"/>
          <w:bCs/>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val="0"/>
          <w:bCs/>
          <w:sz w:val="32"/>
          <w:szCs w:val="32"/>
        </w:rPr>
        <w:t>0</w:t>
      </w:r>
      <w:r>
        <w:rPr>
          <w:rFonts w:hint="eastAsia" w:ascii="仿宋_GB2312" w:eastAsia="仿宋_GB2312"/>
          <w:sz w:val="32"/>
          <w:szCs w:val="32"/>
        </w:rPr>
        <w:t>万元，年初未安排预算</w:t>
      </w:r>
      <w:r>
        <w:rPr>
          <w:rFonts w:hint="eastAsia" w:ascii="仿宋_GB2312" w:eastAsia="仿宋_GB2312"/>
          <w:sz w:val="32"/>
          <w:szCs w:val="32"/>
          <w:lang w:eastAsia="zh-CN"/>
        </w:rPr>
        <w:t>，较上年无变化</w:t>
      </w:r>
      <w:r>
        <w:rPr>
          <w:rStyle w:val="16"/>
          <w:rFonts w:hint="eastAsia" w:ascii="仿宋" w:hAnsi="仿宋" w:eastAsia="仿宋"/>
          <w:bCs/>
          <w:sz w:val="32"/>
          <w:szCs w:val="32"/>
        </w:rPr>
        <w:t>。</w:t>
      </w:r>
    </w:p>
    <w:p>
      <w:pPr>
        <w:spacing w:line="600" w:lineRule="exact"/>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val="0"/>
          <w:bCs/>
          <w:sz w:val="32"/>
          <w:szCs w:val="32"/>
        </w:rPr>
        <w:t>4</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 w:val="0"/>
          <w:bCs/>
          <w:sz w:val="32"/>
          <w:szCs w:val="32"/>
        </w:rPr>
        <w:t>99.9%</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0.73</w:t>
      </w:r>
      <w:r>
        <w:rPr>
          <w:rFonts w:hint="eastAsia" w:ascii="仿宋_GB2312" w:eastAsia="仿宋_GB2312"/>
          <w:sz w:val="32"/>
          <w:szCs w:val="32"/>
        </w:rPr>
        <w:t>万元，增长</w:t>
      </w:r>
      <w:r>
        <w:rPr>
          <w:rFonts w:ascii="仿宋_GB2312" w:eastAsia="仿宋_GB2312"/>
          <w:sz w:val="32"/>
          <w:szCs w:val="32"/>
        </w:rPr>
        <w:t>22.6%</w:t>
      </w:r>
      <w:r>
        <w:rPr>
          <w:rFonts w:hint="eastAsia" w:ascii="仿宋_GB2312" w:eastAsia="仿宋_GB2312"/>
          <w:sz w:val="32"/>
          <w:szCs w:val="32"/>
        </w:rPr>
        <w:t>。主要原因是当年活动增加。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val="0"/>
          <w:bCs/>
          <w:sz w:val="32"/>
          <w:szCs w:val="32"/>
        </w:rPr>
        <w:t>0</w:t>
      </w:r>
      <w:r>
        <w:rPr>
          <w:rFonts w:hint="eastAsia" w:ascii="仿宋_GB2312" w:eastAsia="仿宋_GB2312"/>
          <w:sz w:val="32"/>
          <w:szCs w:val="32"/>
        </w:rPr>
        <w:t>万元。本年未购置公务用车。</w:t>
      </w:r>
      <w:r>
        <w:rPr>
          <w:rFonts w:hint="eastAsia" w:ascii="仿宋_GB2312" w:hAnsi="仿宋_GB2312" w:eastAsia="仿宋_GB2312" w:cs="仿宋_GB2312"/>
          <w:color w:val="auto"/>
          <w:sz w:val="32"/>
          <w:szCs w:val="32"/>
          <w:highlight w:val="none"/>
        </w:rPr>
        <w:t>截至</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年12月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，单位共有公务用车</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辆，其中：轿车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其他车辆类型</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辆。</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val="0"/>
          <w:bCs/>
          <w:sz w:val="32"/>
          <w:szCs w:val="32"/>
        </w:rPr>
        <w:t>4</w:t>
      </w:r>
      <w:r>
        <w:rPr>
          <w:rFonts w:hint="eastAsia" w:ascii="仿宋_GB2312" w:eastAsia="仿宋_GB2312"/>
          <w:sz w:val="32"/>
          <w:szCs w:val="32"/>
        </w:rPr>
        <w:t>万元。主要用于流浪乞讨人员的流动救助及特殊救助对象的护送工作等所需的公务用车燃料费、维修费、过路过桥费、保险费等支出。</w:t>
      </w:r>
    </w:p>
    <w:p>
      <w:pPr>
        <w:spacing w:line="600" w:lineRule="exact"/>
        <w:ind w:firstLine="640"/>
        <w:rPr>
          <w:rFonts w:ascii="仿宋_GB2312" w:hAnsi="仿宋_GB2312" w:eastAsia="仿宋_GB2312" w:cs="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hAnsi="仿宋_GB2312" w:eastAsia="仿宋_GB2312" w:cs="仿宋_GB2312"/>
          <w:sz w:val="32"/>
          <w:szCs w:val="32"/>
        </w:rPr>
        <w:t>2.43</w:t>
      </w:r>
      <w:r>
        <w:rPr>
          <w:rFonts w:hint="eastAsia" w:ascii="仿宋_GB2312" w:hAnsi="仿宋_GB2312" w:eastAsia="仿宋_GB2312" w:cs="仿宋_GB2312"/>
          <w:sz w:val="32"/>
          <w:szCs w:val="32"/>
        </w:rPr>
        <w:t>万元，</w:t>
      </w:r>
      <w:r>
        <w:rPr>
          <w:rFonts w:hint="eastAsia" w:ascii="仿宋_GB2312" w:eastAsia="仿宋_GB2312"/>
          <w:sz w:val="32"/>
          <w:szCs w:val="32"/>
        </w:rPr>
        <w:t>完成预算80.89%。</w:t>
      </w:r>
      <w:r>
        <w:rPr>
          <w:rFonts w:hint="eastAsia" w:ascii="仿宋_GB2312" w:hAnsi="仿宋_GB2312" w:eastAsia="仿宋_GB2312" w:cs="仿宋_GB2312"/>
          <w:sz w:val="32"/>
          <w:szCs w:val="32"/>
        </w:rPr>
        <w:t>公务接待费支出决算比2022年度增加</w:t>
      </w:r>
      <w:r>
        <w:rPr>
          <w:rFonts w:ascii="仿宋_GB2312" w:hAnsi="仿宋_GB2312" w:eastAsia="仿宋_GB2312" w:cs="仿宋_GB2312"/>
          <w:sz w:val="32"/>
          <w:szCs w:val="32"/>
        </w:rPr>
        <w:t>1.87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338%</w:t>
      </w:r>
      <w:r>
        <w:rPr>
          <w:rFonts w:hint="eastAsia" w:ascii="仿宋_GB2312" w:hAnsi="仿宋_GB2312" w:eastAsia="仿宋_GB2312" w:cs="仿宋_GB2312"/>
          <w:sz w:val="32"/>
          <w:szCs w:val="32"/>
        </w:rPr>
        <w:t>。主要原因是2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年新冠疫情接待减少，2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年活动增加。其中：</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w:t>
      </w:r>
      <w:r>
        <w:rPr>
          <w:rFonts w:ascii="仿宋_GB2312" w:hAnsi="仿宋_GB2312" w:eastAsia="仿宋_GB2312" w:cs="仿宋_GB2312"/>
          <w:sz w:val="32"/>
          <w:szCs w:val="32"/>
        </w:rPr>
        <w:t>2.43</w:t>
      </w:r>
      <w:r>
        <w:rPr>
          <w:rFonts w:hint="eastAsia" w:ascii="仿宋_GB2312" w:hAnsi="仿宋_GB2312" w:eastAsia="仿宋_GB2312" w:cs="仿宋_GB2312"/>
          <w:sz w:val="32"/>
          <w:szCs w:val="32"/>
        </w:rPr>
        <w:t>万元，主要用于救助业务活动开支的交通费、住宿费、用餐费等。国内公务接待</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批次，</w:t>
      </w:r>
      <w:r>
        <w:rPr>
          <w:rFonts w:ascii="仿宋_GB2312" w:hAnsi="仿宋_GB2312" w:eastAsia="仿宋_GB2312" w:cs="仿宋_GB2312"/>
          <w:sz w:val="32"/>
          <w:szCs w:val="32"/>
        </w:rPr>
        <w:t>241</w:t>
      </w:r>
      <w:r>
        <w:rPr>
          <w:rFonts w:hint="eastAsia" w:ascii="仿宋_GB2312" w:hAnsi="仿宋_GB2312" w:eastAsia="仿宋_GB2312" w:cs="仿宋_GB2312"/>
          <w:sz w:val="32"/>
          <w:szCs w:val="32"/>
        </w:rPr>
        <w:t>人次（不包括陪同人员），共计支出</w:t>
      </w:r>
      <w:r>
        <w:rPr>
          <w:rFonts w:ascii="仿宋_GB2312" w:hAnsi="仿宋_GB2312" w:eastAsia="仿宋_GB2312" w:cs="仿宋_GB2312"/>
          <w:sz w:val="32"/>
          <w:szCs w:val="32"/>
        </w:rPr>
        <w:t>2.43</w:t>
      </w:r>
      <w:r>
        <w:rPr>
          <w:rFonts w:hint="eastAsia" w:ascii="仿宋_GB2312" w:hAnsi="仿宋_GB2312" w:eastAsia="仿宋_GB2312" w:cs="仿宋_GB2312"/>
          <w:sz w:val="32"/>
          <w:szCs w:val="32"/>
        </w:rPr>
        <w:t>万元，具体内容包括：接待遂宁市民政局一行0</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接待山东临沂、达州救助站工作人员</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万元及其他各地救助站工作人员2</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万元。</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spacing w:line="600" w:lineRule="exact"/>
        <w:ind w:firstLine="640"/>
        <w:outlineLvl w:val="1"/>
        <w:rPr>
          <w:rStyle w:val="28"/>
          <w:rFonts w:ascii="黑体" w:hAnsi="黑体" w:eastAsia="黑体"/>
        </w:rPr>
      </w:pPr>
      <w:bookmarkStart w:id="56" w:name="_Toc11677"/>
      <w:r>
        <w:rPr>
          <w:rFonts w:hint="eastAsia" w:ascii="黑体" w:eastAsia="黑体"/>
          <w:sz w:val="32"/>
          <w:szCs w:val="32"/>
        </w:rPr>
        <w:t>八、</w:t>
      </w:r>
      <w:r>
        <w:rPr>
          <w:rStyle w:val="28"/>
          <w:rFonts w:hint="eastAsia" w:ascii="黑体" w:hAnsi="黑体" w:eastAsia="黑体"/>
          <w:b w:val="0"/>
        </w:rPr>
        <w:t>政府性基金预算支出决算情况说明</w:t>
      </w:r>
      <w:bookmarkEnd w:id="54"/>
      <w:bookmarkEnd w:id="55"/>
      <w:bookmarkEnd w:id="56"/>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val="0"/>
          <w:bCs/>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57" w:name="_Toc15377219"/>
      <w:bookmarkStart w:id="58" w:name="_Toc15898"/>
      <w:bookmarkStart w:id="59" w:name="_Toc15396611"/>
      <w:r>
        <w:rPr>
          <w:rStyle w:val="28"/>
          <w:rFonts w:hint="eastAsia" w:ascii="黑体" w:hAnsi="黑体" w:eastAsia="黑体"/>
          <w:b w:val="0"/>
        </w:rPr>
        <w:t>国有资本经营预算支出决算情况说明</w:t>
      </w:r>
      <w:bookmarkEnd w:id="57"/>
      <w:bookmarkEnd w:id="58"/>
      <w:bookmarkEnd w:id="5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val="0"/>
          <w:bCs/>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28"/>
          <w:rFonts w:ascii="黑体" w:hAnsi="黑体" w:eastAsia="黑体"/>
          <w:b w:val="0"/>
        </w:rPr>
      </w:pPr>
      <w:bookmarkStart w:id="60" w:name="_Toc15396612"/>
      <w:bookmarkStart w:id="61" w:name="_Toc15377221"/>
      <w:bookmarkStart w:id="62" w:name="_Toc3654"/>
      <w:r>
        <w:rPr>
          <w:rStyle w:val="28"/>
          <w:rFonts w:hint="eastAsia" w:ascii="黑体" w:hAnsi="黑体" w:eastAsia="黑体"/>
          <w:b w:val="0"/>
        </w:rPr>
        <w:t>其他重要事项的情况说明</w:t>
      </w:r>
      <w:bookmarkEnd w:id="60"/>
      <w:bookmarkEnd w:id="61"/>
      <w:bookmarkEnd w:id="62"/>
    </w:p>
    <w:p>
      <w:pPr>
        <w:keepNext w:val="0"/>
        <w:keepLines w:val="0"/>
        <w:pageBreakBefore w:val="0"/>
        <w:widowControl w:val="0"/>
        <w:kinsoku/>
        <w:wordWrap/>
        <w:overflowPunct/>
        <w:topLinePunct w:val="0"/>
        <w:autoSpaceDE w:val="0"/>
        <w:autoSpaceDN w:val="0"/>
        <w:bidi w:val="0"/>
        <w:snapToGrid/>
        <w:spacing w:line="600" w:lineRule="exact"/>
        <w:ind w:firstLine="642" w:firstLineChars="200"/>
        <w:textAlignment w:val="auto"/>
        <w:outlineLvl w:val="9"/>
        <w:rPr>
          <w:rFonts w:ascii="仿宋" w:hAnsi="仿宋" w:eastAsia="仿宋"/>
          <w:sz w:val="32"/>
          <w:szCs w:val="32"/>
        </w:rPr>
      </w:pPr>
      <w:bookmarkStart w:id="63" w:name="_Toc15377222"/>
      <w:r>
        <w:rPr>
          <w:rFonts w:hint="eastAsia" w:ascii="仿宋" w:hAnsi="仿宋" w:eastAsia="仿宋"/>
          <w:b/>
          <w:sz w:val="32"/>
          <w:szCs w:val="32"/>
        </w:rPr>
        <w:t>（一）机关运行经费支出情况</w:t>
      </w:r>
      <w:bookmarkEnd w:id="63"/>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sz w:val="32"/>
          <w:szCs w:val="32"/>
        </w:rPr>
        <w:t>广元市救助管理站</w:t>
      </w:r>
      <w:r>
        <w:rPr>
          <w:rFonts w:hint="eastAsia" w:ascii="仿宋_GB2312" w:eastAsia="仿宋_GB2312"/>
          <w:sz w:val="32"/>
          <w:szCs w:val="32"/>
        </w:rPr>
        <w:t>未发生机关运行经费，与2</w:t>
      </w:r>
      <w:r>
        <w:rPr>
          <w:rFonts w:ascii="仿宋_GB2312" w:eastAsia="仿宋_GB2312"/>
          <w:sz w:val="32"/>
          <w:szCs w:val="32"/>
        </w:rPr>
        <w:t>022</w:t>
      </w:r>
      <w:r>
        <w:rPr>
          <w:rFonts w:hint="eastAsia" w:ascii="仿宋_GB2312" w:eastAsia="仿宋_GB2312"/>
          <w:sz w:val="32"/>
          <w:szCs w:val="32"/>
        </w:rPr>
        <w:t>年决算数持平。</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jc w:val="left"/>
        <w:textAlignment w:val="auto"/>
        <w:outlineLvl w:val="9"/>
        <w:rPr>
          <w:rFonts w:ascii="仿宋" w:hAnsi="仿宋" w:eastAsia="仿宋"/>
          <w:b/>
          <w:sz w:val="32"/>
          <w:szCs w:val="32"/>
        </w:rPr>
      </w:pPr>
      <w:bookmarkStart w:id="64" w:name="_Toc15377223"/>
      <w:r>
        <w:rPr>
          <w:rFonts w:hint="eastAsia" w:ascii="仿宋" w:hAnsi="仿宋" w:eastAsia="仿宋"/>
          <w:b/>
          <w:sz w:val="32"/>
          <w:szCs w:val="32"/>
        </w:rPr>
        <w:t>（二）政府采购支出情况</w:t>
      </w:r>
      <w:bookmarkEnd w:id="64"/>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2023年度，</w:t>
      </w:r>
      <w:r>
        <w:rPr>
          <w:rFonts w:ascii="仿宋_GB2312" w:eastAsia="仿宋_GB2312"/>
          <w:sz w:val="32"/>
          <w:szCs w:val="32"/>
        </w:rPr>
        <w:t>广元市救助管理站</w:t>
      </w:r>
      <w:r>
        <w:rPr>
          <w:rFonts w:hint="eastAsia" w:ascii="仿宋_GB2312" w:eastAsia="仿宋_GB2312"/>
          <w:sz w:val="32"/>
          <w:szCs w:val="32"/>
        </w:rPr>
        <w:t>政府采购支出总额</w:t>
      </w:r>
      <w:r>
        <w:rPr>
          <w:rFonts w:ascii="仿宋" w:hAnsi="仿宋" w:eastAsia="仿宋"/>
          <w:b w:val="0"/>
          <w:bCs/>
          <w:sz w:val="32"/>
          <w:szCs w:val="32"/>
        </w:rPr>
        <w:t>0</w:t>
      </w:r>
      <w:r>
        <w:rPr>
          <w:rFonts w:hint="eastAsia" w:ascii="仿宋_GB2312" w:eastAsia="仿宋_GB2312"/>
          <w:b w:val="0"/>
          <w:bCs/>
          <w:sz w:val="32"/>
          <w:szCs w:val="32"/>
        </w:rPr>
        <w:t>万元</w:t>
      </w:r>
      <w:r>
        <w:rPr>
          <w:rFonts w:hint="eastAsia" w:ascii="仿宋_GB2312" w:eastAsia="仿宋_GB2312"/>
          <w:b w:val="0"/>
          <w:bCs/>
          <w:sz w:val="32"/>
          <w:szCs w:val="32"/>
          <w:lang w:eastAsia="zh-CN"/>
        </w:rPr>
        <w:t>。</w:t>
      </w:r>
      <w:bookmarkStart w:id="100" w:name="_GoBack"/>
      <w:bookmarkEnd w:id="100"/>
    </w:p>
    <w:p>
      <w:pPr>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jc w:val="left"/>
        <w:textAlignment w:val="auto"/>
        <w:outlineLvl w:val="9"/>
        <w:rPr>
          <w:rFonts w:ascii="仿宋" w:hAnsi="仿宋" w:eastAsia="仿宋"/>
          <w:b/>
          <w:sz w:val="32"/>
          <w:szCs w:val="32"/>
        </w:rPr>
      </w:pPr>
      <w:bookmarkStart w:id="65" w:name="_Toc15377224"/>
      <w:r>
        <w:rPr>
          <w:rFonts w:hint="eastAsia" w:ascii="仿宋" w:hAnsi="仿宋" w:eastAsia="仿宋"/>
          <w:b/>
          <w:sz w:val="32"/>
          <w:szCs w:val="32"/>
        </w:rPr>
        <w:t>（三）国有资产占有使用情况</w:t>
      </w:r>
      <w:bookmarkEnd w:id="6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广元市救助管理站</w:t>
      </w:r>
      <w:r>
        <w:rPr>
          <w:rFonts w:hint="eastAsia" w:ascii="仿宋_GB2312" w:eastAsia="仿宋_GB2312"/>
          <w:sz w:val="32"/>
          <w:szCs w:val="32"/>
        </w:rPr>
        <w:t>共有车辆4辆，主要是用于我站的流浪乞讨人员救助工作及未成年人社会保护工作。单价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sz w:val="32"/>
          <w:szCs w:val="32"/>
        </w:rPr>
        <w:t>0</w:t>
      </w:r>
      <w:r>
        <w:rPr>
          <w:rFonts w:hint="eastAsia" w:ascii="仿宋_GB2312" w:eastAsia="仿宋_GB2312"/>
          <w:sz w:val="32"/>
          <w:szCs w:val="32"/>
        </w:rPr>
        <w:t>台（套）。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jc w:val="left"/>
        <w:textAlignment w:val="auto"/>
        <w:outlineLvl w:val="9"/>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根据预算绩效管理要求，本单位在2023年度预算编制阶段，组织对乡村振兴工作经费、困难群众救助补助、变电站200KVA升级改造工程、流浪乞讨人员救助工作经费项目等</w:t>
      </w:r>
      <w:r>
        <w:rPr>
          <w:rFonts w:ascii="仿宋_GB2312" w:eastAsia="仿宋_GB2312"/>
          <w:sz w:val="32"/>
          <w:szCs w:val="32"/>
        </w:rPr>
        <w:t>17</w:t>
      </w:r>
      <w:r>
        <w:rPr>
          <w:rFonts w:hint="eastAsia" w:ascii="仿宋_GB2312" w:eastAsia="仿宋_GB2312"/>
          <w:sz w:val="32"/>
          <w:szCs w:val="32"/>
        </w:rPr>
        <w:t>个项目开展了预算事前绩效评估，对</w:t>
      </w:r>
      <w:r>
        <w:rPr>
          <w:rFonts w:ascii="仿宋_GB2312" w:eastAsia="仿宋_GB2312"/>
          <w:sz w:val="32"/>
          <w:szCs w:val="32"/>
        </w:rPr>
        <w:t>17</w:t>
      </w:r>
      <w:r>
        <w:rPr>
          <w:rFonts w:hint="eastAsia" w:ascii="仿宋_GB2312" w:eastAsia="仿宋_GB2312"/>
          <w:sz w:val="32"/>
          <w:szCs w:val="32"/>
        </w:rPr>
        <w:t>个项目编制了绩效目标，预算执行过程中，选取4个项目开展绩效监控，组织对</w:t>
      </w:r>
      <w:r>
        <w:rPr>
          <w:rFonts w:ascii="仿宋_GB2312" w:eastAsia="仿宋_GB2312"/>
          <w:sz w:val="32"/>
          <w:szCs w:val="32"/>
        </w:rPr>
        <w:t>17</w:t>
      </w:r>
      <w:r>
        <w:rPr>
          <w:rFonts w:hint="eastAsia" w:ascii="仿宋_GB2312" w:eastAsia="仿宋_GB2312"/>
          <w:sz w:val="32"/>
          <w:szCs w:val="32"/>
        </w:rPr>
        <w:t>个项目开展绩效自评，绩效自评表详见第四部分附件。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66" w:name="_Toc15377225"/>
      <w:bookmarkStart w:id="67" w:name="_Toc15396613"/>
      <w:bookmarkStart w:id="68" w:name="_Toc2437"/>
      <w:r>
        <w:rPr>
          <w:rFonts w:hint="eastAsia" w:ascii="黑体" w:hAnsi="黑体" w:eastAsia="黑体"/>
          <w:sz w:val="44"/>
          <w:szCs w:val="44"/>
        </w:rPr>
        <w:t>名</w:t>
      </w:r>
      <w:r>
        <w:rPr>
          <w:rStyle w:val="27"/>
          <w:rFonts w:hint="eastAsia" w:ascii="黑体" w:hAnsi="黑体" w:eastAsia="黑体"/>
          <w:b w:val="0"/>
        </w:rPr>
        <w:t>词解释</w:t>
      </w:r>
      <w:bookmarkEnd w:id="66"/>
      <w:bookmarkEnd w:id="67"/>
      <w:bookmarkEnd w:id="68"/>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.社会保障和就业支出（类）行政事业单位养老支出（款）机关事业单位基本养老保险缴费支出（项）：反映机关事业单位实施养老保险制度由单位缴纳的基本养老保险费支出。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.社会保障和就业支出（类）行政事业单位养老支出（款）机关事业单位职业年金缴费支出（项）：反映机关事业单位实施养老保险制度由单位实际缴纳的职业年金支出。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.社会保障和就业支出（类）社会福利（款）社会福利事业单位（项）：反映民政部门举办的社会福利事业单位的支出，以及对集体社会福利事业单位的补助费。</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6.社会保障和就业支出（类）临时救助（款）流浪乞讨人员救助支出（项）：反映城乡生活困难居民的临时生活救助等支出。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.社会保障和就业支出（类）其他社会保障和就业支出（款）其他社会保障和就业支出（项）：反映其他用于社会保障和就业方面的支出。</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.卫生健康支出（类）行政事业单位医疗（款）事业单位医疗（项）：是指事业单位医疗方面的支出。反映财政部门集中安排的事业单位基本医疗保险缴费经费。</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7"/>
          <w:rFonts w:ascii="黑体" w:hAnsi="黑体" w:eastAsia="黑体"/>
          <w:b w:val="0"/>
        </w:rPr>
      </w:pPr>
      <w:bookmarkStart w:id="69" w:name="_Toc15377226"/>
      <w:r>
        <w:rPr>
          <w:rFonts w:ascii="宋体"/>
          <w:b/>
          <w:sz w:val="44"/>
          <w:szCs w:val="44"/>
        </w:rPr>
        <w:br w:type="page"/>
      </w:r>
      <w:bookmarkStart w:id="70" w:name="_Toc17010"/>
      <w:bookmarkStart w:id="71" w:name="_Toc15396614"/>
      <w:r>
        <w:rPr>
          <w:rFonts w:hint="eastAsia" w:ascii="黑体" w:hAnsi="黑体" w:eastAsia="黑体"/>
          <w:sz w:val="44"/>
          <w:szCs w:val="44"/>
        </w:rPr>
        <w:t>第</w:t>
      </w:r>
      <w:r>
        <w:rPr>
          <w:rStyle w:val="27"/>
          <w:rFonts w:hint="eastAsia" w:ascii="黑体" w:hAnsi="黑体" w:eastAsia="黑体"/>
          <w:b w:val="0"/>
        </w:rPr>
        <w:t>四部分 附件</w:t>
      </w:r>
      <w:bookmarkEnd w:id="70"/>
      <w:bookmarkEnd w:id="71"/>
    </w:p>
    <w:p>
      <w:pPr>
        <w:spacing w:line="572" w:lineRule="exact"/>
        <w:jc w:val="left"/>
        <w:outlineLvl w:val="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仿宋_GB2312" w:hAnsi="Calibri" w:eastAsia="仿宋_GB2312" w:cs="仿宋"/>
          <w:kern w:val="0"/>
          <w:sz w:val="32"/>
          <w:szCs w:val="32"/>
        </w:rPr>
      </w:pPr>
      <w:bookmarkStart w:id="72" w:name="_Toc15396618"/>
      <w:r>
        <w:rPr>
          <w:rFonts w:hint="eastAsia" w:ascii="仿宋_GB2312" w:hAnsi="Calibri" w:eastAsia="仿宋_GB2312" w:cs="仿宋"/>
          <w:kern w:val="0"/>
          <w:sz w:val="32"/>
          <w:szCs w:val="32"/>
        </w:rPr>
        <w:t>部门预算项目支出绩效自评表（2023年度）</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sz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int="eastAsia" w:hAnsi="Calibri" w:cs="仿宋"/>
          <w:sz w:val="32"/>
          <w:szCs w:val="32"/>
        </w:rPr>
      </w:pPr>
    </w:p>
    <w:p>
      <w:pPr>
        <w:spacing w:line="600" w:lineRule="exact"/>
        <w:jc w:val="center"/>
        <w:outlineLvl w:val="0"/>
        <w:rPr>
          <w:rFonts w:ascii="仿宋" w:hAnsi="仿宋" w:eastAsia="仿宋"/>
        </w:rPr>
      </w:pPr>
      <w:bookmarkStart w:id="73" w:name="_Toc3554"/>
      <w:r>
        <w:rPr>
          <w:rFonts w:hint="eastAsia" w:ascii="黑体" w:hAnsi="黑体" w:eastAsia="黑体"/>
          <w:sz w:val="44"/>
          <w:szCs w:val="44"/>
        </w:rPr>
        <w:t>第</w:t>
      </w:r>
      <w:r>
        <w:rPr>
          <w:rStyle w:val="27"/>
          <w:rFonts w:hint="eastAsia" w:ascii="黑体" w:hAnsi="黑体" w:eastAsia="黑体"/>
          <w:b w:val="0"/>
        </w:rPr>
        <w:t>五部分 附表</w:t>
      </w:r>
      <w:bookmarkEnd w:id="69"/>
      <w:bookmarkEnd w:id="72"/>
      <w:bookmarkEnd w:id="73"/>
      <w:bookmarkStart w:id="74" w:name="_Toc15396619"/>
    </w:p>
    <w:p>
      <w:pPr>
        <w:pStyle w:val="4"/>
        <w:rPr>
          <w:rFonts w:ascii="仿宋" w:hAnsi="仿宋" w:eastAsia="仿宋"/>
        </w:rPr>
      </w:pPr>
      <w:bookmarkStart w:id="75" w:name="_Toc9817"/>
      <w:r>
        <w:rPr>
          <w:rFonts w:hint="eastAsia" w:ascii="仿宋" w:hAnsi="仿宋" w:eastAsia="仿宋"/>
          <w:b w:val="0"/>
        </w:rPr>
        <w:t>一、收</w:t>
      </w:r>
      <w:r>
        <w:rPr>
          <w:rStyle w:val="28"/>
          <w:rFonts w:hint="eastAsia" w:ascii="仿宋" w:hAnsi="仿宋" w:eastAsia="仿宋"/>
          <w:b w:val="0"/>
          <w:bCs w:val="0"/>
        </w:rPr>
        <w:t>入支出决算总表</w:t>
      </w:r>
      <w:bookmarkEnd w:id="74"/>
      <w:bookmarkEnd w:id="75"/>
    </w:p>
    <w:p>
      <w:pPr>
        <w:pStyle w:val="4"/>
        <w:rPr>
          <w:rFonts w:ascii="仿宋" w:hAnsi="仿宋" w:eastAsia="仿宋"/>
        </w:rPr>
      </w:pPr>
      <w:bookmarkStart w:id="76" w:name="_Toc5202"/>
      <w:bookmarkStart w:id="77" w:name="_Toc15396620"/>
      <w:r>
        <w:rPr>
          <w:rFonts w:hint="eastAsia" w:ascii="仿宋" w:hAnsi="仿宋" w:eastAsia="仿宋"/>
          <w:b w:val="0"/>
        </w:rPr>
        <w:t>二、收</w:t>
      </w:r>
      <w:r>
        <w:rPr>
          <w:rStyle w:val="28"/>
          <w:rFonts w:hint="eastAsia" w:ascii="仿宋" w:hAnsi="仿宋" w:eastAsia="仿宋"/>
          <w:b w:val="0"/>
          <w:bCs w:val="0"/>
        </w:rPr>
        <w:t>入决算表</w:t>
      </w:r>
      <w:bookmarkEnd w:id="76"/>
      <w:bookmarkEnd w:id="77"/>
    </w:p>
    <w:p>
      <w:pPr>
        <w:pStyle w:val="4"/>
        <w:rPr>
          <w:rFonts w:ascii="仿宋" w:hAnsi="仿宋" w:eastAsia="仿宋"/>
        </w:rPr>
      </w:pPr>
      <w:bookmarkStart w:id="78" w:name="_Toc27967"/>
      <w:bookmarkStart w:id="79"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78"/>
      <w:bookmarkEnd w:id="79"/>
    </w:p>
    <w:p>
      <w:pPr>
        <w:pStyle w:val="4"/>
        <w:rPr>
          <w:rFonts w:ascii="仿宋" w:hAnsi="仿宋" w:eastAsia="仿宋"/>
          <w:b w:val="0"/>
        </w:rPr>
      </w:pPr>
      <w:bookmarkStart w:id="80" w:name="_Toc15396622"/>
      <w:bookmarkStart w:id="81" w:name="_Toc24353"/>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0"/>
      <w:bookmarkEnd w:id="81"/>
    </w:p>
    <w:p>
      <w:pPr>
        <w:pStyle w:val="4"/>
        <w:rPr>
          <w:rStyle w:val="28"/>
          <w:rFonts w:ascii="仿宋" w:hAnsi="仿宋" w:eastAsia="仿宋"/>
          <w:b w:val="0"/>
          <w:bCs w:val="0"/>
        </w:rPr>
      </w:pPr>
      <w:bookmarkStart w:id="82" w:name="_Toc15396623"/>
      <w:bookmarkStart w:id="83" w:name="_Toc9198"/>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2"/>
      <w:bookmarkEnd w:id="83"/>
      <w:bookmarkStart w:id="84" w:name="_Toc15396624"/>
    </w:p>
    <w:p>
      <w:pPr>
        <w:pStyle w:val="4"/>
        <w:rPr>
          <w:rFonts w:ascii="仿宋" w:hAnsi="仿宋" w:eastAsia="仿宋"/>
        </w:rPr>
      </w:pPr>
      <w:bookmarkStart w:id="85" w:name="_Toc5339"/>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4"/>
      <w:bookmarkEnd w:id="85"/>
    </w:p>
    <w:p>
      <w:pPr>
        <w:pStyle w:val="4"/>
        <w:rPr>
          <w:rFonts w:ascii="仿宋" w:hAnsi="仿宋" w:eastAsia="仿宋"/>
        </w:rPr>
      </w:pPr>
      <w:bookmarkStart w:id="86" w:name="_Toc15396625"/>
      <w:bookmarkStart w:id="87" w:name="_Toc6150"/>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86"/>
      <w:bookmarkEnd w:id="87"/>
    </w:p>
    <w:p>
      <w:pPr>
        <w:pStyle w:val="4"/>
        <w:rPr>
          <w:rFonts w:ascii="仿宋" w:hAnsi="仿宋" w:eastAsia="仿宋"/>
        </w:rPr>
      </w:pPr>
      <w:bookmarkStart w:id="88" w:name="_Toc4315"/>
      <w:bookmarkStart w:id="89"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88"/>
      <w:bookmarkEnd w:id="89"/>
    </w:p>
    <w:p>
      <w:pPr>
        <w:pStyle w:val="4"/>
        <w:rPr>
          <w:rFonts w:ascii="仿宋" w:hAnsi="仿宋" w:eastAsia="仿宋"/>
        </w:rPr>
      </w:pPr>
      <w:bookmarkStart w:id="90" w:name="_Toc15396627"/>
      <w:bookmarkStart w:id="91" w:name="_Toc21194"/>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0"/>
      <w:bookmarkEnd w:id="91"/>
    </w:p>
    <w:p>
      <w:pPr>
        <w:pStyle w:val="4"/>
        <w:rPr>
          <w:rFonts w:ascii="仿宋" w:hAnsi="仿宋" w:eastAsia="仿宋"/>
        </w:rPr>
      </w:pPr>
      <w:bookmarkStart w:id="92" w:name="_Toc15396628"/>
      <w:bookmarkStart w:id="93" w:name="_Toc11621"/>
      <w:r>
        <w:rPr>
          <w:rStyle w:val="28"/>
          <w:rFonts w:hint="eastAsia" w:ascii="仿宋" w:hAnsi="仿宋" w:eastAsia="仿宋"/>
          <w:b w:val="0"/>
          <w:bCs w:val="0"/>
        </w:rPr>
        <w:t>十、</w:t>
      </w:r>
      <w:bookmarkEnd w:id="92"/>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3"/>
    </w:p>
    <w:p>
      <w:pPr>
        <w:pStyle w:val="4"/>
        <w:rPr>
          <w:rFonts w:ascii="仿宋" w:hAnsi="仿宋" w:eastAsia="仿宋"/>
        </w:rPr>
      </w:pPr>
      <w:bookmarkStart w:id="94" w:name="_Toc15396629"/>
      <w:bookmarkStart w:id="95" w:name="_Toc2895"/>
      <w:r>
        <w:rPr>
          <w:rStyle w:val="28"/>
          <w:rFonts w:hint="eastAsia" w:ascii="仿宋" w:hAnsi="仿宋" w:eastAsia="仿宋"/>
          <w:b w:val="0"/>
          <w:bCs w:val="0"/>
        </w:rPr>
        <w:t>十一、</w:t>
      </w:r>
      <w:bookmarkEnd w:id="94"/>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5"/>
    </w:p>
    <w:p>
      <w:pPr>
        <w:pStyle w:val="4"/>
        <w:rPr>
          <w:rFonts w:ascii="仿宋" w:hAnsi="仿宋" w:eastAsia="仿宋"/>
        </w:rPr>
      </w:pPr>
      <w:bookmarkStart w:id="96" w:name="_Toc15396630"/>
      <w:bookmarkStart w:id="97" w:name="_Toc31633"/>
      <w:r>
        <w:rPr>
          <w:rStyle w:val="28"/>
          <w:rFonts w:hint="eastAsia" w:ascii="仿宋" w:hAnsi="仿宋" w:eastAsia="仿宋"/>
          <w:b w:val="0"/>
          <w:bCs w:val="0"/>
        </w:rPr>
        <w:t>十二、</w:t>
      </w:r>
      <w:bookmarkEnd w:id="96"/>
      <w:r>
        <w:rPr>
          <w:rStyle w:val="28"/>
          <w:rFonts w:hint="eastAsia" w:ascii="仿宋" w:hAnsi="仿宋" w:eastAsia="仿宋"/>
          <w:b w:val="0"/>
          <w:bCs w:val="0"/>
        </w:rPr>
        <w:t>国有资本经营预算财政拨款支出决算表</w:t>
      </w:r>
      <w:bookmarkEnd w:id="97"/>
    </w:p>
    <w:p>
      <w:pPr>
        <w:pStyle w:val="4"/>
        <w:rPr>
          <w:rFonts w:eastAsia="仿宋"/>
        </w:rPr>
      </w:pPr>
      <w:bookmarkStart w:id="98" w:name="_Toc15396631"/>
      <w:bookmarkStart w:id="99" w:name="_Toc21308"/>
      <w:r>
        <w:rPr>
          <w:rStyle w:val="28"/>
          <w:rFonts w:hint="eastAsia" w:ascii="仿宋" w:hAnsi="仿宋" w:eastAsia="仿宋"/>
          <w:b w:val="0"/>
          <w:bCs w:val="0"/>
        </w:rPr>
        <w:t>十三、</w:t>
      </w:r>
      <w:bookmarkEnd w:id="98"/>
      <w:r>
        <w:rPr>
          <w:rStyle w:val="28"/>
          <w:rFonts w:hint="eastAsia" w:ascii="仿宋" w:hAnsi="仿宋" w:eastAsia="仿宋"/>
          <w:b w:val="0"/>
          <w:bCs w:val="0"/>
        </w:rPr>
        <w:t>财政拨款“三公”经费支出决算表</w:t>
      </w:r>
      <w:bookmarkEnd w:id="99"/>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003" w:usb1="288F0000" w:usb2="0000000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452"/>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1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47477452"/>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18"/>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E1664"/>
    <w:rsid w:val="002F0A5C"/>
    <w:rsid w:val="002F1818"/>
    <w:rsid w:val="002F567B"/>
    <w:rsid w:val="00316A6F"/>
    <w:rsid w:val="003216A9"/>
    <w:rsid w:val="00335A74"/>
    <w:rsid w:val="0036561B"/>
    <w:rsid w:val="0037013F"/>
    <w:rsid w:val="00380C92"/>
    <w:rsid w:val="003A228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2B1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399C"/>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14458"/>
    <w:rsid w:val="008253BB"/>
    <w:rsid w:val="0083706E"/>
    <w:rsid w:val="008408F6"/>
    <w:rsid w:val="008423A5"/>
    <w:rsid w:val="00850625"/>
    <w:rsid w:val="00853718"/>
    <w:rsid w:val="00855221"/>
    <w:rsid w:val="00860645"/>
    <w:rsid w:val="00871F71"/>
    <w:rsid w:val="00872FD8"/>
    <w:rsid w:val="00885AF4"/>
    <w:rsid w:val="008939CD"/>
    <w:rsid w:val="008B768C"/>
    <w:rsid w:val="008B7DF9"/>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46A9"/>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72E8"/>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05FD"/>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514C"/>
    <w:rsid w:val="00F602DF"/>
    <w:rsid w:val="00F754A1"/>
    <w:rsid w:val="00F81FD9"/>
    <w:rsid w:val="00F841AA"/>
    <w:rsid w:val="00F84A94"/>
    <w:rsid w:val="00F87E96"/>
    <w:rsid w:val="00F94201"/>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B31AE7"/>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7BF91AC"/>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6F6A1D"/>
    <w:rsid w:val="71BF4EC2"/>
    <w:rsid w:val="72734D90"/>
    <w:rsid w:val="73E75B71"/>
    <w:rsid w:val="7412278C"/>
    <w:rsid w:val="75DDCDA9"/>
    <w:rsid w:val="75FF44B1"/>
    <w:rsid w:val="77670518"/>
    <w:rsid w:val="777FA627"/>
    <w:rsid w:val="77DF1B5F"/>
    <w:rsid w:val="77EF2D9D"/>
    <w:rsid w:val="79E7B28D"/>
    <w:rsid w:val="7ACFF0C2"/>
    <w:rsid w:val="7AFB9108"/>
    <w:rsid w:val="7BBDA26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BF7F266"/>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CF6B3C"/>
    <w:rsid w:val="FBD1514F"/>
    <w:rsid w:val="FBDFF225"/>
    <w:rsid w:val="FBF7AB63"/>
    <w:rsid w:val="FC2F3373"/>
    <w:rsid w:val="FCF51535"/>
    <w:rsid w:val="FD77F6B8"/>
    <w:rsid w:val="FDD69328"/>
    <w:rsid w:val="FDDFEC0E"/>
    <w:rsid w:val="FDE58BDD"/>
    <w:rsid w:val="FDEC7001"/>
    <w:rsid w:val="FE7E6807"/>
    <w:rsid w:val="FEDFE87F"/>
    <w:rsid w:val="FEF1D25B"/>
    <w:rsid w:val="FF3EF90F"/>
    <w:rsid w:val="FF5F9E96"/>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110;&#20426;&#26480;2\2023&#24180;&#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110;&#20426;&#26480;2\2023&#24180;&#20915;&#31639;&#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110;&#20426;&#26480;2\2023&#24180;&#20915;&#31639;&#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110;&#20426;&#26480;2\2023&#24180;&#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110;&#20426;&#26480;2\2023&#24180;&#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110;&#20426;&#26480;2\2023&#24180;&#20915;&#31639;&#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110;&#20426;&#26480;2\2023&#24180;&#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742302631578947"/>
          <c:y val="0.0451388888888889"/>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1452.16</c:v>
                </c:pt>
                <c:pt idx="1">
                  <c:v>1678.34</c:v>
                </c:pt>
              </c:numCache>
            </c:numRef>
          </c:val>
        </c:ser>
        <c:dLbls>
          <c:showLegendKey val="false"/>
          <c:showVal val="true"/>
          <c:showCatName val="false"/>
          <c:showSerName val="false"/>
          <c:showPercent val="false"/>
          <c:showBubbleSize val="false"/>
        </c:dLbls>
        <c:gapWidth val="246"/>
        <c:overlap val="-28"/>
        <c:axId val="390733079"/>
        <c:axId val="142194078"/>
      </c:barChart>
      <c:catAx>
        <c:axId val="390733079"/>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2194078"/>
        <c:crosses val="autoZero"/>
        <c:auto val="true"/>
        <c:lblAlgn val="ctr"/>
        <c:lblOffset val="100"/>
        <c:noMultiLvlLbl val="false"/>
      </c:catAx>
      <c:valAx>
        <c:axId val="142194078"/>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073307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Sheet1!$A$23</c:f>
              <c:strCache>
                <c:ptCount val="1"/>
                <c:pt idx="0">
                  <c:v>一般公共预算财政拨款收入</c:v>
                </c:pt>
              </c:strCache>
            </c:strRef>
          </c:cat>
          <c:val>
            <c:numRef>
              <c:f>Sheet1!$B$23</c:f>
              <c:numCache>
                <c:formatCode>0.0%</c:formatCode>
                <c:ptCount val="1"/>
                <c:pt idx="0">
                  <c:v>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Sheet1!$A$40:$A$41</c:f>
              <c:strCache>
                <c:ptCount val="2"/>
                <c:pt idx="0">
                  <c:v>基本支出</c:v>
                </c:pt>
                <c:pt idx="1">
                  <c:v>项目支出</c:v>
                </c:pt>
              </c:strCache>
            </c:strRef>
          </c:cat>
          <c:val>
            <c:numRef>
              <c:f>Sheet1!$B$40:$B$41</c:f>
              <c:numCache>
                <c:formatCode>0%</c:formatCode>
                <c:ptCount val="2"/>
                <c:pt idx="0">
                  <c:v>0.72</c:v>
                </c:pt>
                <c:pt idx="1">
                  <c:v>0.38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742302631578947"/>
          <c:y val="0.0451388888888889"/>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1452.16</c:v>
                </c:pt>
                <c:pt idx="1">
                  <c:v>1678.34</c:v>
                </c:pt>
              </c:numCache>
            </c:numRef>
          </c:val>
        </c:ser>
        <c:dLbls>
          <c:showLegendKey val="false"/>
          <c:showVal val="true"/>
          <c:showCatName val="false"/>
          <c:showSerName val="false"/>
          <c:showPercent val="false"/>
          <c:showBubbleSize val="false"/>
        </c:dLbls>
        <c:gapWidth val="246"/>
        <c:overlap val="-28"/>
        <c:axId val="390733079"/>
        <c:axId val="142194078"/>
      </c:barChart>
      <c:catAx>
        <c:axId val="390733079"/>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2194078"/>
        <c:crosses val="autoZero"/>
        <c:auto val="true"/>
        <c:lblAlgn val="ctr"/>
        <c:lblOffset val="100"/>
        <c:noMultiLvlLbl val="false"/>
      </c:catAx>
      <c:valAx>
        <c:axId val="142194078"/>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073307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742302631578947"/>
          <c:y val="0.0451388888888889"/>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1452.16</c:v>
                </c:pt>
                <c:pt idx="1">
                  <c:v>1678.34</c:v>
                </c:pt>
              </c:numCache>
            </c:numRef>
          </c:val>
        </c:ser>
        <c:dLbls>
          <c:showLegendKey val="false"/>
          <c:showVal val="true"/>
          <c:showCatName val="false"/>
          <c:showSerName val="false"/>
          <c:showPercent val="false"/>
          <c:showBubbleSize val="false"/>
        </c:dLbls>
        <c:gapWidth val="246"/>
        <c:overlap val="-28"/>
        <c:axId val="390733079"/>
        <c:axId val="142194078"/>
      </c:barChart>
      <c:catAx>
        <c:axId val="390733079"/>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2194078"/>
        <c:crosses val="autoZero"/>
        <c:auto val="true"/>
        <c:lblAlgn val="ctr"/>
        <c:lblOffset val="100"/>
        <c:noMultiLvlLbl val="false"/>
      </c:catAx>
      <c:valAx>
        <c:axId val="142194078"/>
        <c:scaling>
          <c:orientation val="minMax"/>
        </c:scaling>
        <c:delete val="false"/>
        <c:axPos val="l"/>
        <c:majorGridlines>
          <c:spPr>
            <a:ln w="9525" cap="flat" cmpd="sng" algn="ctr">
              <a:solidFill>
                <a:schemeClr val="lt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073307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1"/>
              <c:layout>
                <c:manualLayout>
                  <c:x val="-0.0280541338582677"/>
                  <c:y val="-0.0061081090353901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738083989501312"/>
                  <c:y val="-0.011673442780436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Sheet1!$A$73:$A$75</c:f>
              <c:strCache>
                <c:ptCount val="3"/>
                <c:pt idx="0">
                  <c:v>社会保障和就业支出</c:v>
                </c:pt>
                <c:pt idx="1">
                  <c:v>卫生健康支出</c:v>
                </c:pt>
                <c:pt idx="2">
                  <c:v>住房保障支出</c:v>
                </c:pt>
              </c:strCache>
            </c:strRef>
          </c:cat>
          <c:val>
            <c:numRef>
              <c:f>Sheet1!$B$73:$B$75</c:f>
              <c:numCache>
                <c:formatCode>0.0%</c:formatCode>
                <c:ptCount val="3"/>
                <c:pt idx="0">
                  <c:v>0.935</c:v>
                </c:pt>
                <c:pt idx="1">
                  <c:v>0.017</c:v>
                </c:pt>
                <c:pt idx="2">
                  <c:v>0.048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Sheet1!$A$88:$A$89</c:f>
              <c:strCache>
                <c:ptCount val="2"/>
                <c:pt idx="0">
                  <c:v>公务用车购置及运行维护费支出</c:v>
                </c:pt>
                <c:pt idx="1">
                  <c:v>公务接待费支出</c:v>
                </c:pt>
              </c:strCache>
            </c:strRef>
          </c:cat>
          <c:val>
            <c:numRef>
              <c:f>Sheet1!$B$88:$B$89</c:f>
              <c:numCache>
                <c:formatCode>0.0%</c:formatCode>
                <c:ptCount val="2"/>
                <c:pt idx="0">
                  <c:v>0.622</c:v>
                </c:pt>
                <c:pt idx="1">
                  <c:v>0.378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4394</Words>
  <Characters>4823</Characters>
  <Lines>32</Lines>
  <Paragraphs>9</Paragraphs>
  <TotalTime>2</TotalTime>
  <ScaleCrop>false</ScaleCrop>
  <LinksUpToDate>false</LinksUpToDate>
  <CharactersWithSpaces>4936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 </cp:lastModifiedBy>
  <cp:lastPrinted>2023-08-03T10:35:00Z</cp:lastPrinted>
  <dcterms:modified xsi:type="dcterms:W3CDTF">2024-10-12T18:21:18Z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1130213F42334FA38E53FCF56495504C_12</vt:lpwstr>
  </property>
</Properties>
</file>