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1000" w:lineRule="exact"/>
        <w:jc w:val="center"/>
        <w:textAlignment w:val="auto"/>
        <w:rPr>
          <w:rFonts w:hint="eastAsia" w:ascii="微软雅黑" w:hAnsi="宋体" w:eastAsia="微软雅黑" w:cs="Times New Roman"/>
          <w:color w:val="auto"/>
          <w:kern w:val="2"/>
          <w:sz w:val="72"/>
          <w:szCs w:val="7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1000" w:lineRule="exact"/>
        <w:jc w:val="center"/>
        <w:textAlignment w:val="auto"/>
        <w:rPr>
          <w:rFonts w:hint="eastAsia" w:ascii="微软雅黑" w:hAnsi="宋体" w:eastAsia="微软雅黑" w:cs="Times New Roman"/>
          <w:color w:val="auto"/>
          <w:kern w:val="2"/>
          <w:sz w:val="72"/>
          <w:szCs w:val="7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1000" w:lineRule="exact"/>
        <w:jc w:val="center"/>
        <w:textAlignment w:val="auto"/>
        <w:rPr>
          <w:rFonts w:hint="eastAsia" w:ascii="微软雅黑" w:hAnsi="宋体" w:eastAsia="微软雅黑" w:cs="Times New Roman"/>
          <w:color w:val="auto"/>
          <w:kern w:val="2"/>
          <w:sz w:val="72"/>
          <w:szCs w:val="7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afterLines="0" w:line="1000" w:lineRule="exact"/>
        <w:jc w:val="center"/>
        <w:textAlignment w:val="auto"/>
        <w:rPr>
          <w:rFonts w:hint="eastAsia" w:ascii="方正小标宋简体" w:hAnsi="方正小标宋简体" w:eastAsia="方正小标宋简体" w:cs="方正小标宋简体"/>
          <w:kern w:val="2"/>
          <w:sz w:val="72"/>
          <w:szCs w:val="72"/>
          <w:lang w:val="zh-CN"/>
        </w:rPr>
      </w:pPr>
      <w:r>
        <w:rPr>
          <w:rFonts w:hint="eastAsia" w:ascii="方正小标宋简体" w:hAnsi="方正小标宋简体" w:eastAsia="方正小标宋简体" w:cs="方正小标宋简体"/>
          <w:color w:val="auto"/>
          <w:kern w:val="2"/>
          <w:sz w:val="72"/>
          <w:szCs w:val="72"/>
          <w:highlight w:val="none"/>
          <w:lang w:val="en-US" w:eastAsia="zh-CN" w:bidi="ar-SA"/>
        </w:rPr>
        <w:t>2023年度</w:t>
      </w:r>
      <w:r>
        <w:rPr>
          <w:rFonts w:hint="eastAsia" w:ascii="方正小标宋简体" w:hAnsi="方正小标宋简体" w:eastAsia="方正小标宋简体" w:cs="方正小标宋简体"/>
          <w:kern w:val="2"/>
          <w:sz w:val="72"/>
          <w:szCs w:val="72"/>
          <w:lang w:val="zh-CN"/>
        </w:rPr>
        <w:t>广元市老年大学</w:t>
      </w:r>
    </w:p>
    <w:p>
      <w:pPr>
        <w:keepNext w:val="0"/>
        <w:keepLines w:val="0"/>
        <w:pageBreakBefore w:val="0"/>
        <w:widowControl w:val="0"/>
        <w:kinsoku/>
        <w:wordWrap/>
        <w:overflowPunct/>
        <w:topLinePunct w:val="0"/>
        <w:autoSpaceDE/>
        <w:autoSpaceDN/>
        <w:bidi w:val="0"/>
        <w:adjustRightInd/>
        <w:snapToGrid/>
        <w:spacing w:beforeLines="0" w:afterLines="0" w:line="1000" w:lineRule="exact"/>
        <w:jc w:val="center"/>
        <w:textAlignment w:val="auto"/>
        <w:rPr>
          <w:rFonts w:hint="eastAsia" w:ascii="方正小标宋简体" w:hAnsi="方正小标宋简体" w:eastAsia="方正小标宋简体" w:cs="方正小标宋简体"/>
          <w:kern w:val="2"/>
          <w:sz w:val="72"/>
          <w:szCs w:val="72"/>
          <w:lang w:val="zh-CN"/>
        </w:rPr>
      </w:pPr>
      <w:r>
        <w:rPr>
          <w:rFonts w:hint="eastAsia" w:ascii="方正小标宋简体" w:hAnsi="方正小标宋简体" w:eastAsia="方正小标宋简体" w:cs="方正小标宋简体"/>
          <w:kern w:val="2"/>
          <w:sz w:val="72"/>
          <w:szCs w:val="72"/>
          <w:lang w:val="zh-CN"/>
        </w:rPr>
        <w:t>（广元市老年活动中心）</w:t>
      </w:r>
    </w:p>
    <w:p>
      <w:pPr>
        <w:keepNext w:val="0"/>
        <w:keepLines w:val="0"/>
        <w:pageBreakBefore w:val="0"/>
        <w:widowControl w:val="0"/>
        <w:kinsoku/>
        <w:wordWrap/>
        <w:overflowPunct/>
        <w:topLinePunct w:val="0"/>
        <w:autoSpaceDE/>
        <w:autoSpaceDN/>
        <w:bidi w:val="0"/>
        <w:adjustRightInd/>
        <w:snapToGrid/>
        <w:spacing w:beforeLines="0" w:afterLines="0" w:line="1000" w:lineRule="exact"/>
        <w:jc w:val="center"/>
        <w:textAlignment w:val="auto"/>
        <w:rPr>
          <w:rFonts w:hint="eastAsia" w:ascii="方正小标宋简体" w:hAnsi="方正小标宋简体" w:eastAsia="方正小标宋简体" w:cs="方正小标宋简体"/>
          <w:kern w:val="2"/>
          <w:sz w:val="72"/>
          <w:szCs w:val="72"/>
          <w:lang w:val="zh-CN"/>
        </w:rPr>
      </w:pPr>
      <w:r>
        <w:rPr>
          <w:rFonts w:hint="eastAsia" w:ascii="方正小标宋简体" w:hAnsi="方正小标宋简体" w:eastAsia="方正小标宋简体" w:cs="方正小标宋简体"/>
          <w:kern w:val="2"/>
          <w:sz w:val="72"/>
          <w:szCs w:val="72"/>
          <w:lang w:val="zh-CN"/>
        </w:rPr>
        <w:t>单位决算</w:t>
      </w:r>
    </w:p>
    <w:p>
      <w:pPr>
        <w:pStyle w:val="4"/>
        <w:pageBreakBefore w:val="0"/>
        <w:kinsoku/>
        <w:wordWrap/>
        <w:overflowPunct/>
        <w:topLinePunct w:val="0"/>
        <w:bidi w:val="0"/>
        <w:spacing w:line="560" w:lineRule="exact"/>
        <w:jc w:val="center"/>
        <w:textAlignment w:val="auto"/>
        <w:rPr>
          <w:rFonts w:hint="eastAsia" w:ascii="微软雅黑" w:hAnsi="宋体" w:eastAsia="微软雅黑" w:cs="Times New Roman"/>
          <w:color w:val="auto"/>
          <w:kern w:val="2"/>
          <w:sz w:val="44"/>
          <w:szCs w:val="44"/>
          <w:highlight w:val="none"/>
          <w:lang w:val="en-US" w:eastAsia="zh-CN" w:bidi="ar-SA"/>
        </w:rPr>
      </w:pPr>
    </w:p>
    <w:p>
      <w:pPr>
        <w:pageBreakBefore w:val="0"/>
        <w:widowControl/>
        <w:kinsoku/>
        <w:wordWrap/>
        <w:overflowPunct/>
        <w:topLinePunct w:val="0"/>
        <w:bidi w:val="0"/>
        <w:spacing w:line="560" w:lineRule="exact"/>
        <w:jc w:val="center"/>
        <w:textAlignment w:val="auto"/>
        <w:rPr>
          <w:rFonts w:hint="eastAsia" w:ascii="黑体" w:hAnsi="黑体" w:eastAsia="黑体"/>
          <w:color w:val="auto"/>
          <w:sz w:val="48"/>
          <w:szCs w:val="48"/>
          <w:highlight w:val="none"/>
        </w:rPr>
        <w:sectPr>
          <w:headerReference r:id="rId3" w:type="default"/>
          <w:pgSz w:w="11906" w:h="16838"/>
          <w:pgMar w:top="1440" w:right="1800" w:bottom="1440" w:left="1800" w:header="851" w:footer="992" w:gutter="0"/>
          <w:cols w:space="425" w:num="1"/>
          <w:docGrid w:type="lines" w:linePitch="312" w:charSpace="0"/>
        </w:sectPr>
      </w:pPr>
    </w:p>
    <w:p>
      <w:pPr>
        <w:pageBreakBefore w:val="0"/>
        <w:widowControl/>
        <w:kinsoku/>
        <w:wordWrap/>
        <w:overflowPunct/>
        <w:topLinePunct w:val="0"/>
        <w:bidi w:val="0"/>
        <w:spacing w:line="560" w:lineRule="exact"/>
        <w:jc w:val="center"/>
        <w:textAlignment w:val="auto"/>
        <w:rPr>
          <w:rFonts w:hint="eastAsia" w:ascii="黑体" w:hAnsi="黑体" w:eastAsia="黑体"/>
          <w:color w:val="auto"/>
          <w:sz w:val="48"/>
          <w:szCs w:val="48"/>
          <w:highlight w:val="none"/>
        </w:rPr>
      </w:pPr>
      <w:r>
        <w:rPr>
          <w:rFonts w:hint="eastAsia" w:ascii="黑体" w:hAnsi="黑体" w:eastAsia="黑体"/>
          <w:color w:val="auto"/>
          <w:sz w:val="48"/>
          <w:szCs w:val="48"/>
          <w:highlight w:val="none"/>
        </w:rPr>
        <w:t>目录</w:t>
      </w:r>
    </w:p>
    <w:p>
      <w:pPr>
        <w:pStyle w:val="7"/>
        <w:pageBreakBefore w:val="0"/>
        <w:kinsoku/>
        <w:wordWrap/>
        <w:overflowPunct/>
        <w:topLinePunct w:val="0"/>
        <w:bidi w:val="0"/>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14</w:t>
      </w:r>
      <w:r>
        <w:rPr>
          <w:rFonts w:hint="eastAsia"/>
          <w:color w:val="auto"/>
          <w:highlight w:val="none"/>
        </w:rPr>
        <w:t>日</w:t>
      </w:r>
    </w:p>
    <w:sdt>
      <w:sdtPr>
        <w:rPr>
          <w:rFonts w:ascii="宋体" w:hAnsi="宋体" w:eastAsia="宋体" w:cs="Times New Roman"/>
          <w:color w:val="auto"/>
          <w:kern w:val="2"/>
          <w:sz w:val="21"/>
          <w:szCs w:val="24"/>
          <w:lang w:val="en-US" w:eastAsia="zh-CN" w:bidi="ar-SA"/>
        </w:rPr>
        <w:id w:val="147478195"/>
        <w15:color w:val="DBDBDB"/>
        <w:docPartObj>
          <w:docPartGallery w:val="Table of Contents"/>
          <w:docPartUnique/>
        </w:docPartObj>
      </w:sdtPr>
      <w:sdtEndPr>
        <w:rPr>
          <w:rFonts w:hint="eastAsia" w:ascii="黑体" w:hAnsi="黑体" w:eastAsia="黑体" w:cs="黑体"/>
          <w:b/>
          <w:color w:val="auto"/>
          <w:kern w:val="2"/>
          <w:sz w:val="28"/>
          <w:szCs w:val="4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15"/>
            <w:tabs>
              <w:tab w:val="right" w:leader="dot" w:pos="8306"/>
            </w:tabs>
            <w:rPr>
              <w:b/>
            </w:rPr>
          </w:pPr>
          <w:r>
            <w:rPr>
              <w:rFonts w:hint="eastAsia" w:ascii="黑体" w:hAnsi="黑体" w:eastAsia="黑体" w:cs="黑体"/>
              <w:color w:val="auto"/>
              <w:sz w:val="44"/>
              <w:szCs w:val="44"/>
              <w:highlight w:val="none"/>
            </w:rPr>
            <w:fldChar w:fldCharType="begin"/>
          </w:r>
          <w:r>
            <w:rPr>
              <w:rFonts w:hint="eastAsia" w:ascii="黑体" w:hAnsi="黑体" w:eastAsia="黑体" w:cs="黑体"/>
              <w:color w:val="auto"/>
              <w:sz w:val="44"/>
              <w:szCs w:val="44"/>
              <w:highlight w:val="none"/>
            </w:rPr>
            <w:instrText xml:space="preserve">TOC \o "1-2" \h \u </w:instrText>
          </w:r>
          <w:r>
            <w:rPr>
              <w:rFonts w:hint="eastAsia" w:ascii="黑体" w:hAnsi="黑体" w:eastAsia="黑体" w:cs="黑体"/>
              <w:color w:val="auto"/>
              <w:sz w:val="44"/>
              <w:szCs w:val="44"/>
              <w:highlight w:val="none"/>
            </w:rPr>
            <w:fldChar w:fldCharType="separate"/>
          </w:r>
          <w:r>
            <w:rPr>
              <w:rFonts w:hint="eastAsia" w:ascii="黑体" w:hAnsi="黑体" w:eastAsia="黑体" w:cs="黑体"/>
              <w:b/>
              <w:color w:val="auto"/>
              <w:szCs w:val="44"/>
              <w:highlight w:val="none"/>
            </w:rPr>
            <w:fldChar w:fldCharType="begin"/>
          </w:r>
          <w:r>
            <w:rPr>
              <w:rFonts w:hint="eastAsia" w:ascii="黑体" w:hAnsi="黑体" w:eastAsia="黑体" w:cs="黑体"/>
              <w:b/>
              <w:szCs w:val="44"/>
              <w:highlight w:val="none"/>
            </w:rPr>
            <w:instrText xml:space="preserve"> HYPERLINK \l _Toc19597 </w:instrText>
          </w:r>
          <w:r>
            <w:rPr>
              <w:rFonts w:hint="eastAsia" w:ascii="黑体" w:hAnsi="黑体" w:eastAsia="黑体" w:cs="黑体"/>
              <w:b/>
              <w:szCs w:val="44"/>
              <w:highlight w:val="none"/>
            </w:rPr>
            <w:fldChar w:fldCharType="separate"/>
          </w:r>
          <w:r>
            <w:rPr>
              <w:rFonts w:hint="eastAsia" w:ascii="黑体" w:hAnsi="黑体" w:eastAsia="黑体" w:cs="黑体"/>
              <w:b/>
              <w:szCs w:val="44"/>
              <w:highlight w:val="none"/>
            </w:rPr>
            <w:t xml:space="preserve">第一部分 </w:t>
          </w:r>
          <w:r>
            <w:rPr>
              <w:rFonts w:hint="eastAsia" w:ascii="黑体" w:hAnsi="黑体" w:eastAsia="黑体" w:cs="黑体"/>
              <w:b/>
              <w:szCs w:val="44"/>
              <w:highlight w:val="none"/>
              <w:lang w:eastAsia="zh-CN"/>
            </w:rPr>
            <w:t>单位</w:t>
          </w:r>
          <w:r>
            <w:rPr>
              <w:rFonts w:hint="eastAsia" w:ascii="黑体" w:hAnsi="黑体" w:eastAsia="黑体" w:cs="黑体"/>
              <w:b/>
              <w:szCs w:val="44"/>
              <w:highlight w:val="none"/>
            </w:rPr>
            <w:t>概况</w:t>
          </w:r>
          <w:r>
            <w:rPr>
              <w:b/>
            </w:rPr>
            <w:tab/>
          </w:r>
          <w:r>
            <w:rPr>
              <w:b/>
            </w:rPr>
            <w:fldChar w:fldCharType="begin"/>
          </w:r>
          <w:r>
            <w:rPr>
              <w:b/>
            </w:rPr>
            <w:instrText xml:space="preserve"> PAGEREF _Toc19597 \h </w:instrText>
          </w:r>
          <w:r>
            <w:rPr>
              <w:b/>
            </w:rPr>
            <w:fldChar w:fldCharType="separate"/>
          </w:r>
          <w:r>
            <w:rPr>
              <w:b/>
            </w:rPr>
            <w:t>1</w:t>
          </w:r>
          <w:r>
            <w:rPr>
              <w:b/>
            </w:rPr>
            <w:fldChar w:fldCharType="end"/>
          </w:r>
          <w:r>
            <w:rPr>
              <w:rFonts w:hint="eastAsia" w:ascii="黑体" w:hAnsi="黑体" w:eastAsia="黑体" w:cs="黑体"/>
              <w:b/>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_Toc21778 </w:instrText>
          </w:r>
          <w:r>
            <w:rPr>
              <w:rFonts w:hint="eastAsia" w:ascii="黑体" w:hAnsi="黑体" w:eastAsia="黑体" w:cs="黑体"/>
              <w:szCs w:val="44"/>
              <w:highlight w:val="none"/>
            </w:rPr>
            <w:fldChar w:fldCharType="separate"/>
          </w:r>
          <w:r>
            <w:rPr>
              <w:rFonts w:hint="eastAsia" w:ascii="黑体" w:hAnsi="黑体" w:eastAsia="黑体" w:cs="黑体"/>
              <w:szCs w:val="32"/>
              <w:highlight w:val="none"/>
            </w:rPr>
            <w:t>一、</w:t>
          </w:r>
          <w:r>
            <w:rPr>
              <w:rFonts w:hint="eastAsia" w:ascii="黑体" w:hAnsi="黑体" w:eastAsia="黑体" w:cs="黑体"/>
              <w:szCs w:val="32"/>
              <w:highlight w:val="none"/>
              <w:lang w:eastAsia="zh-CN"/>
            </w:rPr>
            <w:t>主要职责</w:t>
          </w:r>
          <w:r>
            <w:tab/>
          </w:r>
          <w:r>
            <w:fldChar w:fldCharType="begin"/>
          </w:r>
          <w:r>
            <w:instrText xml:space="preserve"> PAGEREF _Toc21778 \h </w:instrText>
          </w:r>
          <w:r>
            <w:fldChar w:fldCharType="separate"/>
          </w:r>
          <w:r>
            <w:t>1</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_Toc12950 </w:instrText>
          </w:r>
          <w:r>
            <w:rPr>
              <w:rFonts w:hint="eastAsia" w:ascii="黑体" w:hAnsi="黑体" w:eastAsia="黑体" w:cs="黑体"/>
              <w:szCs w:val="44"/>
              <w:highlight w:val="none"/>
            </w:rPr>
            <w:fldChar w:fldCharType="separate"/>
          </w:r>
          <w:r>
            <w:rPr>
              <w:rFonts w:hint="eastAsia" w:ascii="黑体" w:hAnsi="黑体" w:eastAsia="黑体" w:cs="黑体"/>
              <w:szCs w:val="32"/>
              <w:highlight w:val="none"/>
              <w:lang w:val="en-US" w:eastAsia="zh-CN"/>
            </w:rPr>
            <w:t>二、</w:t>
          </w:r>
          <w:r>
            <w:rPr>
              <w:rFonts w:hint="eastAsia" w:ascii="黑体" w:hAnsi="黑体" w:eastAsia="黑体" w:cs="黑体"/>
              <w:szCs w:val="32"/>
              <w:highlight w:val="none"/>
              <w:lang w:eastAsia="zh-CN"/>
            </w:rPr>
            <w:t>机构设置</w:t>
          </w:r>
          <w:r>
            <w:tab/>
          </w:r>
          <w:r>
            <w:fldChar w:fldCharType="begin"/>
          </w:r>
          <w:r>
            <w:instrText xml:space="preserve"> PAGEREF _Toc12950 \h </w:instrText>
          </w:r>
          <w:r>
            <w:fldChar w:fldCharType="separate"/>
          </w:r>
          <w:r>
            <w:t>1</w:t>
          </w:r>
          <w:r>
            <w:fldChar w:fldCharType="end"/>
          </w:r>
          <w:r>
            <w:rPr>
              <w:rFonts w:hint="eastAsia" w:ascii="黑体" w:hAnsi="黑体" w:eastAsia="黑体" w:cs="黑体"/>
              <w:color w:val="auto"/>
              <w:szCs w:val="44"/>
              <w:highlight w:val="none"/>
            </w:rPr>
            <w:fldChar w:fldCharType="end"/>
          </w:r>
        </w:p>
        <w:p>
          <w:pPr>
            <w:pStyle w:val="15"/>
            <w:tabs>
              <w:tab w:val="right" w:leader="dot" w:pos="8306"/>
            </w:tabs>
            <w:rPr>
              <w:b/>
            </w:rPr>
          </w:pPr>
          <w:r>
            <w:rPr>
              <w:rFonts w:hint="eastAsia" w:ascii="黑体" w:hAnsi="黑体" w:eastAsia="黑体" w:cs="黑体"/>
              <w:b/>
              <w:color w:val="auto"/>
              <w:szCs w:val="44"/>
              <w:highlight w:val="none"/>
            </w:rPr>
            <w:fldChar w:fldCharType="begin"/>
          </w:r>
          <w:r>
            <w:rPr>
              <w:rFonts w:hint="eastAsia" w:ascii="黑体" w:hAnsi="黑体" w:eastAsia="黑体" w:cs="黑体"/>
              <w:b/>
              <w:szCs w:val="44"/>
              <w:highlight w:val="none"/>
            </w:rPr>
            <w:instrText xml:space="preserve"> HYPERLINK \l _Toc21308 </w:instrText>
          </w:r>
          <w:r>
            <w:rPr>
              <w:rFonts w:hint="eastAsia" w:ascii="黑体" w:hAnsi="黑体" w:eastAsia="黑体" w:cs="黑体"/>
              <w:b/>
              <w:szCs w:val="44"/>
              <w:highlight w:val="none"/>
            </w:rPr>
            <w:fldChar w:fldCharType="separate"/>
          </w:r>
          <w:r>
            <w:rPr>
              <w:rFonts w:hint="eastAsia" w:ascii="黑体" w:hAnsi="黑体" w:eastAsia="黑体" w:cs="黑体"/>
              <w:b/>
              <w:szCs w:val="44"/>
              <w:highlight w:val="none"/>
              <w:lang w:val="en-US" w:eastAsia="zh-CN"/>
            </w:rPr>
            <w:t>第二部分 2023年度</w:t>
          </w:r>
          <w:r>
            <w:rPr>
              <w:rFonts w:hint="eastAsia" w:ascii="黑体" w:hAnsi="黑体" w:eastAsia="黑体" w:cs="黑体"/>
              <w:b/>
              <w:szCs w:val="44"/>
              <w:highlight w:val="none"/>
              <w:lang w:eastAsia="zh-CN"/>
            </w:rPr>
            <w:t>单位</w:t>
          </w:r>
          <w:r>
            <w:rPr>
              <w:rFonts w:hint="eastAsia" w:ascii="黑体" w:hAnsi="黑体" w:eastAsia="黑体" w:cs="黑体"/>
              <w:b/>
              <w:szCs w:val="44"/>
              <w:highlight w:val="none"/>
            </w:rPr>
            <w:t>决算情况说明</w:t>
          </w:r>
          <w:r>
            <w:rPr>
              <w:b/>
            </w:rPr>
            <w:tab/>
          </w:r>
          <w:r>
            <w:rPr>
              <w:b/>
            </w:rPr>
            <w:fldChar w:fldCharType="begin"/>
          </w:r>
          <w:r>
            <w:rPr>
              <w:b/>
            </w:rPr>
            <w:instrText xml:space="preserve"> PAGEREF _Toc21308 \h </w:instrText>
          </w:r>
          <w:r>
            <w:rPr>
              <w:b/>
            </w:rPr>
            <w:fldChar w:fldCharType="separate"/>
          </w:r>
          <w:r>
            <w:rPr>
              <w:b/>
            </w:rPr>
            <w:t>1</w:t>
          </w:r>
          <w:r>
            <w:rPr>
              <w:b/>
            </w:rPr>
            <w:fldChar w:fldCharType="end"/>
          </w:r>
          <w:r>
            <w:rPr>
              <w:rFonts w:hint="eastAsia" w:ascii="黑体" w:hAnsi="黑体" w:eastAsia="黑体" w:cs="黑体"/>
              <w:b/>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_Toc10855 </w:instrText>
          </w:r>
          <w:r>
            <w:rPr>
              <w:rFonts w:hint="eastAsia" w:ascii="黑体" w:hAnsi="黑体" w:eastAsia="黑体" w:cs="黑体"/>
              <w:szCs w:val="44"/>
              <w:highlight w:val="none"/>
            </w:rPr>
            <w:fldChar w:fldCharType="separate"/>
          </w:r>
          <w:r>
            <w:rPr>
              <w:rFonts w:hint="eastAsia" w:ascii="黑体" w:hAnsi="黑体" w:eastAsia="黑体" w:cs="黑体"/>
              <w:szCs w:val="32"/>
              <w:highlight w:val="none"/>
              <w:lang w:val="en-US" w:eastAsia="zh-CN"/>
            </w:rPr>
            <w:t>一、</w:t>
          </w:r>
          <w:r>
            <w:rPr>
              <w:rFonts w:hint="eastAsia" w:ascii="黑体" w:hAnsi="黑体" w:eastAsia="黑体" w:cs="黑体"/>
              <w:szCs w:val="32"/>
              <w:highlight w:val="none"/>
            </w:rPr>
            <w:t>收入支出决算总体情况说明</w:t>
          </w:r>
          <w:r>
            <w:tab/>
          </w:r>
          <w:r>
            <w:fldChar w:fldCharType="begin"/>
          </w:r>
          <w:r>
            <w:instrText xml:space="preserve"> PAGEREF _Toc10855 \h </w:instrText>
          </w:r>
          <w:r>
            <w:fldChar w:fldCharType="separate"/>
          </w:r>
          <w:r>
            <w:t>1</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_Toc2948 </w:instrText>
          </w:r>
          <w:r>
            <w:rPr>
              <w:rFonts w:hint="eastAsia" w:ascii="黑体" w:hAnsi="黑体" w:eastAsia="黑体" w:cs="黑体"/>
              <w:szCs w:val="44"/>
              <w:highlight w:val="none"/>
            </w:rPr>
            <w:fldChar w:fldCharType="separate"/>
          </w:r>
          <w:r>
            <w:rPr>
              <w:rFonts w:hint="eastAsia" w:ascii="黑体" w:hAnsi="黑体" w:eastAsia="黑体" w:cs="黑体"/>
              <w:szCs w:val="32"/>
              <w:highlight w:val="none"/>
              <w:lang w:val="en-US" w:eastAsia="zh-CN"/>
            </w:rPr>
            <w:t>二、</w:t>
          </w:r>
          <w:r>
            <w:rPr>
              <w:rFonts w:hint="eastAsia" w:ascii="黑体" w:hAnsi="黑体" w:eastAsia="黑体" w:cs="黑体"/>
              <w:szCs w:val="32"/>
              <w:highlight w:val="none"/>
            </w:rPr>
            <w:t>收入决算情况说明</w:t>
          </w:r>
          <w:r>
            <w:tab/>
          </w:r>
          <w:r>
            <w:fldChar w:fldCharType="begin"/>
          </w:r>
          <w:r>
            <w:instrText xml:space="preserve"> PAGEREF _Toc2948 \h </w:instrText>
          </w:r>
          <w:r>
            <w:fldChar w:fldCharType="separate"/>
          </w:r>
          <w:r>
            <w:t>2</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_Toc17379 </w:instrText>
          </w:r>
          <w:r>
            <w:rPr>
              <w:rFonts w:hint="eastAsia" w:ascii="黑体" w:hAnsi="黑体" w:eastAsia="黑体" w:cs="黑体"/>
              <w:szCs w:val="44"/>
              <w:highlight w:val="none"/>
            </w:rPr>
            <w:fldChar w:fldCharType="separate"/>
          </w:r>
          <w:r>
            <w:rPr>
              <w:rFonts w:hint="eastAsia" w:ascii="黑体" w:hAnsi="黑体" w:eastAsia="黑体" w:cs="黑体"/>
              <w:szCs w:val="32"/>
              <w:highlight w:val="none"/>
              <w:lang w:val="en-US" w:eastAsia="zh-CN"/>
            </w:rPr>
            <w:t>三、</w:t>
          </w:r>
          <w:r>
            <w:rPr>
              <w:rFonts w:hint="eastAsia" w:ascii="黑体" w:hAnsi="黑体" w:eastAsia="黑体" w:cs="黑体"/>
              <w:szCs w:val="32"/>
              <w:highlight w:val="none"/>
            </w:rPr>
            <w:t>支出决算情况说明</w:t>
          </w:r>
          <w:r>
            <w:tab/>
          </w:r>
          <w:r>
            <w:fldChar w:fldCharType="begin"/>
          </w:r>
          <w:r>
            <w:instrText xml:space="preserve"> PAGEREF _Toc17379 \h </w:instrText>
          </w:r>
          <w:r>
            <w:fldChar w:fldCharType="separate"/>
          </w:r>
          <w:r>
            <w:t>2</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_Toc3681 </w:instrText>
          </w:r>
          <w:r>
            <w:rPr>
              <w:rFonts w:hint="eastAsia" w:ascii="黑体" w:hAnsi="黑体" w:eastAsia="黑体" w:cs="黑体"/>
              <w:szCs w:val="44"/>
              <w:highlight w:val="none"/>
            </w:rPr>
            <w:fldChar w:fldCharType="separate"/>
          </w:r>
          <w:r>
            <w:rPr>
              <w:rFonts w:hint="eastAsia" w:ascii="黑体" w:hAnsi="黑体" w:eastAsia="黑体" w:cs="黑体"/>
              <w:szCs w:val="32"/>
            </w:rPr>
            <w:t xml:space="preserve">四、 </w:t>
          </w:r>
          <w:r>
            <w:rPr>
              <w:rFonts w:hint="eastAsia" w:ascii="黑体" w:hAnsi="黑体" w:eastAsia="黑体" w:cs="黑体"/>
              <w:szCs w:val="32"/>
              <w:highlight w:val="none"/>
            </w:rPr>
            <w:t>财政拨款收入支出决算总体情况说明</w:t>
          </w:r>
          <w:r>
            <w:tab/>
          </w:r>
          <w:r>
            <w:fldChar w:fldCharType="begin"/>
          </w:r>
          <w:r>
            <w:instrText xml:space="preserve"> PAGEREF _Toc3681 \h </w:instrText>
          </w:r>
          <w:r>
            <w:fldChar w:fldCharType="separate"/>
          </w:r>
          <w:r>
            <w:t>2</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_Toc14159 </w:instrText>
          </w:r>
          <w:r>
            <w:rPr>
              <w:rFonts w:hint="eastAsia" w:ascii="黑体" w:hAnsi="黑体" w:eastAsia="黑体" w:cs="黑体"/>
              <w:szCs w:val="44"/>
              <w:highlight w:val="none"/>
            </w:rPr>
            <w:fldChar w:fldCharType="separate"/>
          </w:r>
          <w:r>
            <w:rPr>
              <w:rFonts w:hint="eastAsia" w:ascii="黑体" w:hAnsi="黑体" w:eastAsia="黑体" w:cs="黑体"/>
              <w:szCs w:val="32"/>
              <w:highlight w:val="none"/>
              <w:lang w:val="en-US" w:eastAsia="zh-CN"/>
            </w:rPr>
            <w:t>五、</w:t>
          </w:r>
          <w:r>
            <w:rPr>
              <w:rFonts w:hint="eastAsia" w:ascii="黑体" w:hAnsi="黑体" w:eastAsia="黑体" w:cs="黑体"/>
              <w:szCs w:val="32"/>
              <w:highlight w:val="none"/>
            </w:rPr>
            <w:t>一般公共预算财政拨款支出决算情况说明</w:t>
          </w:r>
          <w:r>
            <w:tab/>
          </w:r>
          <w:r>
            <w:fldChar w:fldCharType="begin"/>
          </w:r>
          <w:r>
            <w:instrText xml:space="preserve"> PAGEREF _Toc14159 \h </w:instrText>
          </w:r>
          <w:r>
            <w:fldChar w:fldCharType="separate"/>
          </w:r>
          <w:r>
            <w:t>3</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_Toc4901 </w:instrText>
          </w:r>
          <w:r>
            <w:rPr>
              <w:rFonts w:hint="eastAsia" w:ascii="黑体" w:hAnsi="黑体" w:eastAsia="黑体" w:cs="黑体"/>
              <w:szCs w:val="44"/>
              <w:highlight w:val="none"/>
            </w:rPr>
            <w:fldChar w:fldCharType="separate"/>
          </w:r>
          <w:r>
            <w:rPr>
              <w:rFonts w:hint="eastAsia" w:ascii="黑体" w:hAnsi="黑体" w:eastAsia="黑体" w:cs="黑体"/>
              <w:szCs w:val="32"/>
              <w:highlight w:val="none"/>
              <w:lang w:val="en-US" w:eastAsia="zh-CN"/>
            </w:rPr>
            <w:t>六、</w:t>
          </w:r>
          <w:r>
            <w:rPr>
              <w:rFonts w:hint="eastAsia" w:ascii="黑体" w:hAnsi="黑体" w:eastAsia="黑体" w:cs="黑体"/>
              <w:szCs w:val="32"/>
              <w:highlight w:val="none"/>
            </w:rPr>
            <w:t>一般公共预算财政拨款基本支出决算情况说明</w:t>
          </w:r>
          <w:r>
            <w:tab/>
          </w:r>
          <w:r>
            <w:fldChar w:fldCharType="begin"/>
          </w:r>
          <w:r>
            <w:instrText xml:space="preserve"> PAGEREF _Toc4901 \h </w:instrText>
          </w:r>
          <w:r>
            <w:fldChar w:fldCharType="separate"/>
          </w:r>
          <w:r>
            <w:t>5</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_Toc13712 </w:instrText>
          </w:r>
          <w:r>
            <w:rPr>
              <w:rFonts w:hint="eastAsia" w:ascii="黑体" w:hAnsi="黑体" w:eastAsia="黑体" w:cs="黑体"/>
              <w:szCs w:val="44"/>
              <w:highlight w:val="none"/>
            </w:rPr>
            <w:fldChar w:fldCharType="separate"/>
          </w:r>
          <w:r>
            <w:rPr>
              <w:rFonts w:hint="eastAsia" w:ascii="黑体" w:hAnsi="黑体" w:eastAsia="黑体" w:cs="黑体"/>
              <w:szCs w:val="32"/>
            </w:rPr>
            <w:t xml:space="preserve">七、 </w:t>
          </w:r>
          <w:r>
            <w:rPr>
              <w:rFonts w:hint="eastAsia" w:ascii="黑体" w:hAnsi="黑体" w:eastAsia="黑体" w:cs="黑体"/>
              <w:szCs w:val="32"/>
              <w:highlight w:val="none"/>
            </w:rPr>
            <w:t>财政拨款</w:t>
          </w:r>
          <w:r>
            <w:rPr>
              <w:rFonts w:hint="eastAsia" w:ascii="黑体" w:hAnsi="黑体" w:eastAsia="黑体" w:cs="黑体"/>
              <w:szCs w:val="32"/>
              <w:highlight w:val="none"/>
              <w:lang w:eastAsia="zh-CN"/>
            </w:rPr>
            <w:t>“</w:t>
          </w:r>
          <w:r>
            <w:rPr>
              <w:rFonts w:hint="eastAsia" w:ascii="黑体" w:hAnsi="黑体" w:eastAsia="黑体" w:cs="黑体"/>
              <w:szCs w:val="32"/>
              <w:highlight w:val="none"/>
            </w:rPr>
            <w:t>三公”经费支出决算情况说明</w:t>
          </w:r>
          <w:r>
            <w:tab/>
          </w:r>
          <w:r>
            <w:fldChar w:fldCharType="begin"/>
          </w:r>
          <w:r>
            <w:instrText xml:space="preserve"> PAGEREF _Toc13712 \h </w:instrText>
          </w:r>
          <w:r>
            <w:fldChar w:fldCharType="separate"/>
          </w:r>
          <w:r>
            <w:t>5</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_Toc21883 </w:instrText>
          </w:r>
          <w:r>
            <w:rPr>
              <w:rFonts w:hint="eastAsia" w:ascii="黑体" w:hAnsi="黑体" w:eastAsia="黑体" w:cs="黑体"/>
              <w:szCs w:val="44"/>
              <w:highlight w:val="none"/>
            </w:rPr>
            <w:fldChar w:fldCharType="separate"/>
          </w:r>
          <w:r>
            <w:rPr>
              <w:rFonts w:hint="eastAsia" w:ascii="黑体" w:hAnsi="黑体" w:eastAsia="黑体" w:cs="黑体"/>
              <w:szCs w:val="32"/>
              <w:highlight w:val="none"/>
              <w:lang w:val="en-US" w:eastAsia="zh-CN"/>
            </w:rPr>
            <w:t>八、</w:t>
          </w:r>
          <w:r>
            <w:rPr>
              <w:rFonts w:hint="eastAsia" w:ascii="黑体" w:hAnsi="黑体" w:eastAsia="黑体" w:cs="黑体"/>
              <w:szCs w:val="32"/>
              <w:highlight w:val="none"/>
            </w:rPr>
            <w:t>政府性基金预算支出决算情况说明</w:t>
          </w:r>
          <w:r>
            <w:tab/>
          </w:r>
          <w:r>
            <w:fldChar w:fldCharType="begin"/>
          </w:r>
          <w:r>
            <w:instrText xml:space="preserve"> PAGEREF _Toc21883 \h </w:instrText>
          </w:r>
          <w:r>
            <w:fldChar w:fldCharType="separate"/>
          </w:r>
          <w:r>
            <w:t>7</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_Toc14826 </w:instrText>
          </w:r>
          <w:r>
            <w:rPr>
              <w:rFonts w:hint="eastAsia" w:ascii="黑体" w:hAnsi="黑体" w:eastAsia="黑体" w:cs="黑体"/>
              <w:szCs w:val="44"/>
              <w:highlight w:val="none"/>
            </w:rPr>
            <w:fldChar w:fldCharType="separate"/>
          </w:r>
          <w:r>
            <w:rPr>
              <w:rFonts w:hint="eastAsia" w:ascii="黑体" w:hAnsi="黑体" w:eastAsia="黑体"/>
              <w:highlight w:val="none"/>
              <w:lang w:eastAsia="zh-CN"/>
            </w:rPr>
            <w:t>九、</w:t>
          </w:r>
          <w:r>
            <w:rPr>
              <w:rFonts w:hint="eastAsia" w:ascii="黑体" w:hAnsi="黑体" w:eastAsia="黑体"/>
              <w:highlight w:val="none"/>
            </w:rPr>
            <w:t>国有资本经营预算支出决算情况说明</w:t>
          </w:r>
          <w:r>
            <w:tab/>
          </w:r>
          <w:r>
            <w:fldChar w:fldCharType="begin"/>
          </w:r>
          <w:r>
            <w:instrText xml:space="preserve"> PAGEREF _Toc14826 \h </w:instrText>
          </w:r>
          <w:r>
            <w:fldChar w:fldCharType="separate"/>
          </w:r>
          <w:r>
            <w:t>7</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_Toc29436 </w:instrText>
          </w:r>
          <w:r>
            <w:rPr>
              <w:rFonts w:hint="eastAsia" w:ascii="黑体" w:hAnsi="黑体" w:eastAsia="黑体" w:cs="黑体"/>
              <w:szCs w:val="44"/>
              <w:highlight w:val="none"/>
            </w:rPr>
            <w:fldChar w:fldCharType="separate"/>
          </w:r>
          <w:r>
            <w:rPr>
              <w:rFonts w:hint="eastAsia" w:ascii="黑体" w:hAnsi="黑体" w:eastAsia="黑体" w:cs="黑体"/>
              <w:szCs w:val="32"/>
              <w:highlight w:val="none"/>
              <w:lang w:val="en-US" w:eastAsia="zh-CN"/>
            </w:rPr>
            <w:t>十、</w:t>
          </w:r>
          <w:r>
            <w:rPr>
              <w:rFonts w:hint="eastAsia" w:ascii="黑体" w:hAnsi="黑体" w:eastAsia="黑体" w:cs="黑体"/>
              <w:szCs w:val="32"/>
              <w:highlight w:val="none"/>
            </w:rPr>
            <w:t>其他重要事项的情况说明</w:t>
          </w:r>
          <w:r>
            <w:tab/>
          </w:r>
          <w:r>
            <w:fldChar w:fldCharType="begin"/>
          </w:r>
          <w:r>
            <w:instrText xml:space="preserve"> PAGEREF _Toc29436 \h </w:instrText>
          </w:r>
          <w:r>
            <w:fldChar w:fldCharType="separate"/>
          </w:r>
          <w:r>
            <w:t>7</w:t>
          </w:r>
          <w:r>
            <w:fldChar w:fldCharType="end"/>
          </w:r>
          <w:r>
            <w:rPr>
              <w:rFonts w:hint="eastAsia" w:ascii="黑体" w:hAnsi="黑体" w:eastAsia="黑体" w:cs="黑体"/>
              <w:color w:val="auto"/>
              <w:szCs w:val="44"/>
              <w:highlight w:val="none"/>
            </w:rPr>
            <w:fldChar w:fldCharType="end"/>
          </w:r>
        </w:p>
        <w:p>
          <w:pPr>
            <w:pStyle w:val="15"/>
            <w:tabs>
              <w:tab w:val="right" w:leader="dot" w:pos="8306"/>
            </w:tabs>
            <w:rPr>
              <w:b/>
            </w:rPr>
          </w:pPr>
          <w:r>
            <w:rPr>
              <w:rFonts w:hint="eastAsia" w:ascii="黑体" w:hAnsi="黑体" w:eastAsia="黑体" w:cs="黑体"/>
              <w:b/>
              <w:color w:val="auto"/>
              <w:szCs w:val="44"/>
              <w:highlight w:val="none"/>
            </w:rPr>
            <w:fldChar w:fldCharType="begin"/>
          </w:r>
          <w:r>
            <w:rPr>
              <w:rFonts w:hint="eastAsia" w:ascii="黑体" w:hAnsi="黑体" w:eastAsia="黑体" w:cs="黑体"/>
              <w:b/>
              <w:szCs w:val="44"/>
              <w:highlight w:val="none"/>
            </w:rPr>
            <w:instrText xml:space="preserve"> HYPERLINK \l _Toc15316 </w:instrText>
          </w:r>
          <w:r>
            <w:rPr>
              <w:rFonts w:hint="eastAsia" w:ascii="黑体" w:hAnsi="黑体" w:eastAsia="黑体" w:cs="黑体"/>
              <w:b/>
              <w:szCs w:val="44"/>
              <w:highlight w:val="none"/>
            </w:rPr>
            <w:fldChar w:fldCharType="separate"/>
          </w:r>
          <w:r>
            <w:rPr>
              <w:rFonts w:hint="eastAsia" w:ascii="黑体" w:hAnsi="黑体" w:eastAsia="黑体" w:cs="黑体"/>
              <w:b/>
              <w:szCs w:val="44"/>
              <w:highlight w:val="none"/>
              <w:lang w:val="en-US" w:eastAsia="zh-CN"/>
            </w:rPr>
            <w:t xml:space="preserve">第三部分 </w:t>
          </w:r>
          <w:r>
            <w:rPr>
              <w:rFonts w:hint="eastAsia" w:ascii="黑体" w:hAnsi="黑体" w:eastAsia="黑体" w:cs="黑体"/>
              <w:b/>
              <w:szCs w:val="44"/>
              <w:highlight w:val="none"/>
            </w:rPr>
            <w:t>名词解释</w:t>
          </w:r>
          <w:r>
            <w:rPr>
              <w:b/>
            </w:rPr>
            <w:tab/>
          </w:r>
          <w:r>
            <w:rPr>
              <w:b/>
            </w:rPr>
            <w:fldChar w:fldCharType="begin"/>
          </w:r>
          <w:r>
            <w:rPr>
              <w:b/>
            </w:rPr>
            <w:instrText xml:space="preserve"> PAGEREF _Toc15316 \h </w:instrText>
          </w:r>
          <w:r>
            <w:rPr>
              <w:b/>
            </w:rPr>
            <w:fldChar w:fldCharType="separate"/>
          </w:r>
          <w:r>
            <w:rPr>
              <w:b/>
            </w:rPr>
            <w:t>9</w:t>
          </w:r>
          <w:r>
            <w:rPr>
              <w:b/>
            </w:rPr>
            <w:fldChar w:fldCharType="end"/>
          </w:r>
          <w:r>
            <w:rPr>
              <w:rFonts w:hint="eastAsia" w:ascii="黑体" w:hAnsi="黑体" w:eastAsia="黑体" w:cs="黑体"/>
              <w:b/>
              <w:color w:val="auto"/>
              <w:szCs w:val="44"/>
              <w:highlight w:val="none"/>
            </w:rPr>
            <w:fldChar w:fldCharType="end"/>
          </w:r>
        </w:p>
        <w:p>
          <w:pPr>
            <w:pStyle w:val="15"/>
            <w:tabs>
              <w:tab w:val="right" w:leader="dot" w:pos="8306"/>
            </w:tabs>
            <w:rPr>
              <w:b/>
            </w:rPr>
          </w:pPr>
          <w:r>
            <w:rPr>
              <w:rFonts w:hint="eastAsia" w:ascii="黑体" w:hAnsi="黑体" w:eastAsia="黑体" w:cs="黑体"/>
              <w:b/>
              <w:color w:val="auto"/>
              <w:szCs w:val="44"/>
              <w:highlight w:val="none"/>
            </w:rPr>
            <w:fldChar w:fldCharType="begin"/>
          </w:r>
          <w:r>
            <w:rPr>
              <w:rFonts w:hint="eastAsia" w:ascii="黑体" w:hAnsi="黑体" w:eastAsia="黑体" w:cs="黑体"/>
              <w:b/>
              <w:szCs w:val="44"/>
              <w:highlight w:val="none"/>
            </w:rPr>
            <w:instrText xml:space="preserve"> HYPERLINK \l _Toc10833 </w:instrText>
          </w:r>
          <w:r>
            <w:rPr>
              <w:rFonts w:hint="eastAsia" w:ascii="黑体" w:hAnsi="黑体" w:eastAsia="黑体" w:cs="黑体"/>
              <w:b/>
              <w:szCs w:val="44"/>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_Toc10833 \h </w:instrText>
          </w:r>
          <w:r>
            <w:rPr>
              <w:b/>
            </w:rPr>
            <w:fldChar w:fldCharType="separate"/>
          </w:r>
          <w:r>
            <w:rPr>
              <w:b/>
            </w:rPr>
            <w:t>36</w:t>
          </w:r>
          <w:r>
            <w:rPr>
              <w:b/>
            </w:rPr>
            <w:fldChar w:fldCharType="end"/>
          </w:r>
          <w:r>
            <w:rPr>
              <w:rFonts w:hint="eastAsia" w:ascii="黑体" w:hAnsi="黑体" w:eastAsia="黑体" w:cs="黑体"/>
              <w:b/>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_Toc30248 </w:instrText>
          </w:r>
          <w:r>
            <w:rPr>
              <w:rFonts w:hint="eastAsia" w:ascii="黑体" w:hAnsi="黑体" w:eastAsia="黑体" w:cs="黑体"/>
              <w:szCs w:val="44"/>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_Toc30248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_Toc25704 </w:instrText>
          </w:r>
          <w:r>
            <w:rPr>
              <w:rFonts w:hint="eastAsia" w:ascii="黑体" w:hAnsi="黑体" w:eastAsia="黑体" w:cs="黑体"/>
              <w:szCs w:val="44"/>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_Toc25704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_Toc12748 </w:instrText>
          </w:r>
          <w:r>
            <w:rPr>
              <w:rFonts w:hint="eastAsia" w:ascii="黑体" w:hAnsi="黑体" w:eastAsia="黑体" w:cs="黑体"/>
              <w:szCs w:val="44"/>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_Toc12748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_Toc6378 </w:instrText>
          </w:r>
          <w:r>
            <w:rPr>
              <w:rFonts w:hint="eastAsia" w:ascii="黑体" w:hAnsi="黑体" w:eastAsia="黑体" w:cs="黑体"/>
              <w:szCs w:val="44"/>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_Toc6378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_Toc28324 </w:instrText>
          </w:r>
          <w:r>
            <w:rPr>
              <w:rFonts w:hint="eastAsia" w:ascii="黑体" w:hAnsi="黑体" w:eastAsia="黑体" w:cs="黑体"/>
              <w:szCs w:val="44"/>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_Toc28324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_Toc8554 </w:instrText>
          </w:r>
          <w:r>
            <w:rPr>
              <w:rFonts w:hint="eastAsia" w:ascii="黑体" w:hAnsi="黑体" w:eastAsia="黑体" w:cs="黑体"/>
              <w:szCs w:val="44"/>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_Toc8554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_Toc11688 </w:instrText>
          </w:r>
          <w:r>
            <w:rPr>
              <w:rFonts w:hint="eastAsia" w:ascii="黑体" w:hAnsi="黑体" w:eastAsia="黑体" w:cs="黑体"/>
              <w:szCs w:val="44"/>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_Toc11688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_Toc6639 </w:instrText>
          </w:r>
          <w:r>
            <w:rPr>
              <w:rFonts w:hint="eastAsia" w:ascii="黑体" w:hAnsi="黑体" w:eastAsia="黑体" w:cs="黑体"/>
              <w:szCs w:val="44"/>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_Toc6639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_Toc26119 </w:instrText>
          </w:r>
          <w:r>
            <w:rPr>
              <w:rFonts w:hint="eastAsia" w:ascii="黑体" w:hAnsi="黑体" w:eastAsia="黑体" w:cs="黑体"/>
              <w:szCs w:val="44"/>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_Toc26119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_Toc17187 </w:instrText>
          </w:r>
          <w:r>
            <w:rPr>
              <w:rFonts w:hint="eastAsia" w:ascii="黑体" w:hAnsi="黑体" w:eastAsia="黑体" w:cs="黑体"/>
              <w:szCs w:val="44"/>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_Toc17187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_Toc19224 </w:instrText>
          </w:r>
          <w:r>
            <w:rPr>
              <w:rFonts w:hint="eastAsia" w:ascii="黑体" w:hAnsi="黑体" w:eastAsia="黑体" w:cs="黑体"/>
              <w:szCs w:val="44"/>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_Toc19224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_Toc27403 </w:instrText>
          </w:r>
          <w:r>
            <w:rPr>
              <w:rFonts w:hint="eastAsia" w:ascii="黑体" w:hAnsi="黑体" w:eastAsia="黑体" w:cs="黑体"/>
              <w:szCs w:val="44"/>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_Toc27403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16"/>
            <w:tabs>
              <w:tab w:val="right" w:leader="dot" w:pos="8306"/>
            </w:tabs>
          </w:pPr>
          <w:r>
            <w:rPr>
              <w:rFonts w:hint="eastAsia" w:ascii="黑体" w:hAnsi="黑体" w:eastAsia="黑体" w:cs="黑体"/>
              <w:color w:val="auto"/>
              <w:szCs w:val="44"/>
              <w:highlight w:val="none"/>
            </w:rPr>
            <w:fldChar w:fldCharType="begin"/>
          </w:r>
          <w:r>
            <w:rPr>
              <w:rFonts w:hint="eastAsia" w:ascii="黑体" w:hAnsi="黑体" w:eastAsia="黑体" w:cs="黑体"/>
              <w:szCs w:val="44"/>
              <w:highlight w:val="none"/>
            </w:rPr>
            <w:instrText xml:space="preserve"> HYPERLINK \l _Toc25258 </w:instrText>
          </w:r>
          <w:r>
            <w:rPr>
              <w:rFonts w:hint="eastAsia" w:ascii="黑体" w:hAnsi="黑体" w:eastAsia="黑体" w:cs="黑体"/>
              <w:szCs w:val="44"/>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_Toc25258 \h </w:instrText>
          </w:r>
          <w:r>
            <w:fldChar w:fldCharType="separate"/>
          </w:r>
          <w:r>
            <w:t>36</w:t>
          </w:r>
          <w:r>
            <w:fldChar w:fldCharType="end"/>
          </w:r>
          <w:r>
            <w:rPr>
              <w:rFonts w:hint="eastAsia" w:ascii="黑体" w:hAnsi="黑体" w:eastAsia="黑体" w:cs="黑体"/>
              <w:color w:val="auto"/>
              <w:szCs w:val="44"/>
              <w:highlight w:val="none"/>
            </w:rPr>
            <w:fldChar w:fldCharType="end"/>
          </w:r>
        </w:p>
        <w:p>
          <w:pPr>
            <w:pStyle w:val="7"/>
            <w:pageBreakBefore w:val="0"/>
            <w:kinsoku/>
            <w:wordWrap/>
            <w:overflowPunct/>
            <w:topLinePunct w:val="0"/>
            <w:bidi w:val="0"/>
            <w:adjustRightInd w:val="0"/>
            <w:snapToGrid w:val="0"/>
            <w:spacing w:before="0" w:line="560" w:lineRule="exact"/>
            <w:jc w:val="both"/>
            <w:textAlignment w:val="auto"/>
            <w:rPr>
              <w:rFonts w:hint="eastAsia" w:ascii="黑体" w:hAnsi="黑体" w:eastAsia="黑体" w:cs="黑体"/>
              <w:b/>
              <w:color w:val="auto"/>
              <w:kern w:val="2"/>
              <w:sz w:val="28"/>
              <w:szCs w:val="44"/>
              <w:highlight w:val="none"/>
              <w:lang w:val="en-US" w:eastAsia="zh-CN" w:bidi="ar-SA"/>
            </w:rPr>
          </w:pPr>
          <w:r>
            <w:rPr>
              <w:rFonts w:hint="eastAsia" w:ascii="黑体" w:hAnsi="黑体" w:eastAsia="黑体" w:cs="黑体"/>
              <w:b/>
              <w:color w:val="auto"/>
              <w:szCs w:val="44"/>
              <w:highlight w:val="none"/>
            </w:rPr>
            <w:fldChar w:fldCharType="end"/>
          </w:r>
        </w:p>
      </w:sdtContent>
    </w:sdt>
    <w:p>
      <w:pPr>
        <w:rPr>
          <w:rFonts w:hint="eastAsia"/>
        </w:rPr>
      </w:pPr>
    </w:p>
    <w:p>
      <w:pPr>
        <w:pStyle w:val="7"/>
        <w:keepNext w:val="0"/>
        <w:keepLines w:val="0"/>
        <w:pageBreakBefore w:val="0"/>
        <w:widowControl w:val="0"/>
        <w:kinsoku/>
        <w:wordWrap/>
        <w:overflowPunct/>
        <w:topLinePunct w:val="0"/>
        <w:autoSpaceDE/>
        <w:autoSpaceDN/>
        <w:bidi w:val="0"/>
        <w:adjustRightInd w:val="0"/>
        <w:snapToGrid w:val="0"/>
        <w:spacing w:before="0" w:line="560" w:lineRule="exact"/>
        <w:jc w:val="center"/>
        <w:textAlignment w:val="auto"/>
        <w:rPr>
          <w:rFonts w:hint="eastAsia" w:ascii="黑体" w:hAnsi="黑体" w:eastAsia="黑体" w:cs="黑体"/>
          <w:color w:val="auto"/>
          <w:sz w:val="44"/>
          <w:szCs w:val="44"/>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pPr>
        <w:pStyle w:val="7"/>
        <w:keepNext w:val="0"/>
        <w:keepLines w:val="0"/>
        <w:pageBreakBefore w:val="0"/>
        <w:widowControl w:val="0"/>
        <w:kinsoku/>
        <w:wordWrap/>
        <w:overflowPunct/>
        <w:topLinePunct w:val="0"/>
        <w:autoSpaceDE/>
        <w:autoSpaceDN/>
        <w:bidi w:val="0"/>
        <w:adjustRightInd w:val="0"/>
        <w:snapToGrid w:val="0"/>
        <w:spacing w:before="0" w:line="560" w:lineRule="exact"/>
        <w:jc w:val="center"/>
        <w:textAlignment w:val="auto"/>
        <w:outlineLvl w:val="0"/>
        <w:rPr>
          <w:rFonts w:hint="eastAsia" w:ascii="黑体" w:hAnsi="黑体" w:eastAsia="黑体" w:cs="黑体"/>
          <w:color w:val="auto"/>
          <w:sz w:val="32"/>
          <w:szCs w:val="32"/>
          <w:highlight w:val="none"/>
        </w:rPr>
      </w:pPr>
      <w:bookmarkStart w:id="0" w:name="_Toc19597"/>
      <w:r>
        <w:rPr>
          <w:rFonts w:hint="eastAsia" w:ascii="黑体" w:hAnsi="黑体" w:eastAsia="黑体" w:cs="黑体"/>
          <w:color w:val="auto"/>
          <w:sz w:val="44"/>
          <w:szCs w:val="44"/>
          <w:highlight w:val="none"/>
        </w:rPr>
        <w:t xml:space="preserve">第一部分 </w:t>
      </w:r>
      <w:r>
        <w:rPr>
          <w:rFonts w:hint="eastAsia" w:ascii="黑体" w:hAnsi="黑体" w:eastAsia="黑体" w:cs="黑体"/>
          <w:color w:val="auto"/>
          <w:sz w:val="44"/>
          <w:szCs w:val="44"/>
          <w:highlight w:val="none"/>
          <w:lang w:eastAsia="zh-CN"/>
        </w:rPr>
        <w:t>单位</w:t>
      </w:r>
      <w:r>
        <w:rPr>
          <w:rFonts w:hint="eastAsia" w:ascii="黑体" w:hAnsi="黑体" w:eastAsia="黑体" w:cs="黑体"/>
          <w:color w:val="auto"/>
          <w:sz w:val="44"/>
          <w:szCs w:val="44"/>
          <w:highlight w:val="none"/>
        </w:rPr>
        <w:t>概况</w:t>
      </w:r>
      <w:bookmarkEnd w:id="0"/>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left"/>
        <w:textAlignment w:val="auto"/>
        <w:outlineLvl w:val="1"/>
        <w:rPr>
          <w:rFonts w:hint="eastAsia" w:ascii="黑体" w:hAnsi="黑体" w:eastAsia="黑体" w:cs="黑体"/>
          <w:color w:val="auto"/>
          <w:sz w:val="32"/>
          <w:szCs w:val="32"/>
          <w:highlight w:val="none"/>
          <w:lang w:eastAsia="zh-CN"/>
        </w:rPr>
      </w:pPr>
      <w:bookmarkStart w:id="1" w:name="_Toc21778"/>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主要职责</w:t>
      </w:r>
      <w:bookmarkEnd w:id="1"/>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Fonts w:hint="eastAsia"/>
          <w:lang w:eastAsia="zh-CN"/>
        </w:rPr>
      </w:pPr>
      <w:r>
        <w:rPr>
          <w:rFonts w:hint="eastAsia" w:ascii="仿宋" w:hAnsi="仿宋" w:eastAsia="仿宋" w:cs="仿宋"/>
          <w:sz w:val="32"/>
          <w:szCs w:val="32"/>
        </w:rPr>
        <w:t>我校始建于1996年6月，是由广元市市委、市政府创办的一所面向全市老年人的社会公益学校，为财政拨款的副县级事业单位。近年来，我校认真贯彻党的老年教育的方针政策，积极发展本市的老年教育事业。加强教育管理，提高教学质量，组织好具体教学活动，使教学管理工作制度化、规范化，带动全市老年教育工作上档次、上台阶。</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1"/>
        <w:rPr>
          <w:rFonts w:hint="eastAsia" w:ascii="黑体" w:hAnsi="黑体" w:eastAsia="黑体" w:cs="黑体"/>
          <w:color w:val="auto"/>
          <w:sz w:val="32"/>
          <w:szCs w:val="32"/>
          <w:highlight w:val="none"/>
          <w:lang w:eastAsia="zh-CN"/>
        </w:rPr>
      </w:pPr>
      <w:bookmarkStart w:id="2" w:name="_Toc12950"/>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机构设置</w:t>
      </w:r>
      <w:bookmarkEnd w:id="2"/>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广元市老年大学为广元市民政局下属二级预算单位，内设三个科室，分别是办公室、教务科、宣教科，编制9人。</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Fonts w:hint="eastAsia" w:ascii="仿宋" w:hAnsi="仿宋" w:eastAsia="仿宋" w:cs="仿宋"/>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line="560" w:lineRule="exact"/>
        <w:jc w:val="center"/>
        <w:textAlignment w:val="auto"/>
        <w:outlineLvl w:val="0"/>
        <w:rPr>
          <w:rFonts w:hint="eastAsia"/>
        </w:rPr>
      </w:pPr>
      <w:bookmarkStart w:id="3" w:name="_Toc21308"/>
      <w:r>
        <w:rPr>
          <w:rFonts w:hint="eastAsia" w:ascii="黑体" w:hAnsi="黑体" w:eastAsia="黑体" w:cs="黑体"/>
          <w:color w:val="auto"/>
          <w:sz w:val="44"/>
          <w:szCs w:val="44"/>
          <w:highlight w:val="none"/>
          <w:lang w:val="en-US" w:eastAsia="zh-CN"/>
        </w:rPr>
        <w:t>第二部分 2023年度</w:t>
      </w:r>
      <w:r>
        <w:rPr>
          <w:rFonts w:hint="eastAsia" w:ascii="黑体" w:hAnsi="黑体" w:eastAsia="黑体" w:cs="黑体"/>
          <w:color w:val="auto"/>
          <w:sz w:val="44"/>
          <w:szCs w:val="44"/>
          <w:highlight w:val="none"/>
          <w:lang w:eastAsia="zh-CN"/>
        </w:rPr>
        <w:t>单位</w:t>
      </w:r>
      <w:r>
        <w:rPr>
          <w:rFonts w:hint="eastAsia" w:ascii="黑体" w:hAnsi="黑体" w:eastAsia="黑体" w:cs="黑体"/>
          <w:color w:val="auto"/>
          <w:sz w:val="44"/>
          <w:szCs w:val="44"/>
          <w:highlight w:val="none"/>
        </w:rPr>
        <w:t>决算情况说明</w:t>
      </w:r>
      <w:bookmarkEnd w:id="3"/>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1"/>
        <w:rPr>
          <w:rFonts w:hint="default" w:ascii="仿宋_GB2312" w:hAnsi="仿宋_GB2312" w:eastAsia="仿宋_GB2312"/>
          <w:color w:val="000000"/>
          <w:kern w:val="2"/>
          <w:sz w:val="32"/>
          <w:szCs w:val="24"/>
          <w:lang w:val="zh-CN"/>
        </w:rPr>
      </w:pPr>
      <w:bookmarkStart w:id="4" w:name="_Toc10855"/>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收入支出决算总体情况说明</w:t>
      </w:r>
      <w:bookmarkEnd w:id="4"/>
    </w:p>
    <w:p>
      <w:pPr>
        <w:keepNext/>
        <w:keepLines/>
        <w:spacing w:beforeLines="0" w:afterLines="0" w:line="640" w:lineRule="exact"/>
        <w:ind w:firstLine="640"/>
        <w:jc w:val="both"/>
        <w:rPr>
          <w:rFonts w:hint="default" w:ascii="仿宋_GB2312" w:hAnsi="仿宋_GB2312" w:eastAsia="仿宋_GB2312"/>
          <w:color w:val="000000"/>
          <w:kern w:val="2"/>
          <w:sz w:val="32"/>
          <w:szCs w:val="24"/>
          <w:lang w:val="zh-CN"/>
        </w:rPr>
      </w:pPr>
      <w:r>
        <w:rPr>
          <w:rFonts w:hint="default"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default" w:ascii="仿宋_GB2312" w:hAnsi="仿宋_GB2312" w:eastAsia="仿宋_GB2312"/>
          <w:color w:val="000000"/>
          <w:kern w:val="2"/>
          <w:sz w:val="32"/>
          <w:szCs w:val="24"/>
          <w:lang w:val="zh-CN"/>
        </w:rPr>
        <w:t>年度收、支总计</w:t>
      </w:r>
      <w:r>
        <w:rPr>
          <w:rFonts w:hint="eastAsia" w:ascii="仿宋_GB2312" w:hAnsi="仿宋_GB2312" w:eastAsia="仿宋_GB2312"/>
          <w:color w:val="000000"/>
          <w:kern w:val="2"/>
          <w:sz w:val="32"/>
          <w:szCs w:val="24"/>
          <w:lang w:val="en-US" w:eastAsia="zh-CN"/>
        </w:rPr>
        <w:t>237.84</w:t>
      </w:r>
      <w:r>
        <w:rPr>
          <w:rFonts w:hint="default"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2</w:t>
      </w:r>
      <w:r>
        <w:rPr>
          <w:rFonts w:hint="default" w:ascii="仿宋_GB2312" w:hAnsi="仿宋_GB2312" w:eastAsia="仿宋_GB2312"/>
          <w:color w:val="000000"/>
          <w:kern w:val="2"/>
          <w:sz w:val="32"/>
          <w:szCs w:val="24"/>
          <w:lang w:val="zh-CN"/>
        </w:rPr>
        <w:t>年相比，收、支总计各</w:t>
      </w:r>
      <w:r>
        <w:rPr>
          <w:rFonts w:hint="eastAsia" w:ascii="仿宋_GB2312" w:hAnsi="仿宋_GB2312" w:eastAsia="仿宋_GB2312"/>
          <w:color w:val="000000"/>
          <w:kern w:val="2"/>
          <w:sz w:val="32"/>
          <w:szCs w:val="24"/>
          <w:lang w:val="en-US" w:eastAsia="zh-CN"/>
        </w:rPr>
        <w:t>减少12.89</w:t>
      </w:r>
      <w:r>
        <w:rPr>
          <w:rFonts w:hint="default" w:ascii="仿宋_GB2312" w:hAnsi="仿宋_GB2312" w:eastAsia="仿宋_GB2312"/>
          <w:color w:val="000000"/>
          <w:kern w:val="2"/>
          <w:sz w:val="32"/>
          <w:szCs w:val="24"/>
          <w:lang w:val="zh-CN"/>
        </w:rPr>
        <w:t>万元，</w:t>
      </w:r>
      <w:r>
        <w:rPr>
          <w:rFonts w:hint="eastAsia" w:ascii="仿宋_GB2312" w:hAnsi="仿宋_GB2312" w:eastAsia="仿宋_GB2312" w:cs="仿宋_GB2312"/>
          <w:color w:val="auto"/>
          <w:sz w:val="32"/>
          <w:szCs w:val="32"/>
          <w:highlight w:val="none"/>
          <w:lang w:val="en-US" w:eastAsia="zh-CN"/>
        </w:rPr>
        <w:t>下降</w:t>
      </w:r>
      <w:r>
        <w:rPr>
          <w:rFonts w:hint="eastAsia" w:ascii="仿宋_GB2312" w:hAnsi="仿宋_GB2312" w:eastAsia="仿宋_GB2312"/>
          <w:color w:val="000000"/>
          <w:kern w:val="2"/>
          <w:sz w:val="32"/>
          <w:szCs w:val="24"/>
          <w:lang w:val="en-US" w:eastAsia="zh-CN"/>
        </w:rPr>
        <w:t>5.1</w:t>
      </w:r>
      <w:r>
        <w:rPr>
          <w:rFonts w:hint="default" w:ascii="仿宋_GB2312" w:hAnsi="仿宋_GB2312" w:eastAsia="仿宋_GB2312"/>
          <w:color w:val="000000"/>
          <w:kern w:val="2"/>
          <w:sz w:val="32"/>
          <w:szCs w:val="24"/>
          <w:lang w:val="zh-CN"/>
        </w:rPr>
        <w:t>%。主要变动原因是</w:t>
      </w:r>
      <w:r>
        <w:rPr>
          <w:rFonts w:hint="eastAsia" w:ascii="仿宋" w:hAnsi="仿宋" w:eastAsia="仿宋" w:cs="仿宋"/>
          <w:sz w:val="32"/>
          <w:szCs w:val="32"/>
          <w:lang w:val="en-US" w:eastAsia="zh-CN"/>
        </w:rPr>
        <w:t>人员变动、项目资金压减</w:t>
      </w:r>
      <w:r>
        <w:rPr>
          <w:rFonts w:hint="default" w:ascii="仿宋_GB2312" w:hAnsi="仿宋_GB2312" w:eastAsia="仿宋_GB2312"/>
          <w:color w:val="000000"/>
          <w:kern w:val="2"/>
          <w:sz w:val="32"/>
          <w:szCs w:val="24"/>
          <w:lang w:val="zh-CN"/>
        </w:rPr>
        <w:t>。</w:t>
      </w:r>
    </w:p>
    <w:p>
      <w:pPr>
        <w:jc w:val="center"/>
        <w:rPr>
          <w:rFonts w:hint="default"/>
          <w:lang w:val="zh-CN"/>
        </w:rPr>
      </w:pPr>
      <w:r>
        <w:rPr>
          <w:rFonts w:hint="eastAsia" w:ascii="仿宋_GB2312" w:eastAsia="仿宋_GB2312"/>
          <w:color w:val="auto"/>
          <w:sz w:val="32"/>
          <w:szCs w:val="32"/>
          <w:highlight w:val="none"/>
          <w:lang w:eastAsia="zh-CN"/>
        </w:rPr>
        <w:drawing>
          <wp:inline distT="0" distB="0" distL="114300" distR="114300">
            <wp:extent cx="3641090" cy="2081530"/>
            <wp:effectExtent l="4445" t="4445" r="12065"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280" w:firstLineChars="400"/>
        <w:jc w:val="both"/>
        <w:rPr>
          <w:rFonts w:hint="eastAsia"/>
        </w:rPr>
      </w:pPr>
      <w:r>
        <w:rPr>
          <w:rFonts w:hint="eastAsia" w:ascii="仿宋_GB2312" w:hAnsi="仿宋_GB2312" w:eastAsia="仿宋_GB2312" w:cs="仿宋_GB2312"/>
          <w:color w:val="auto"/>
          <w:sz w:val="32"/>
          <w:szCs w:val="32"/>
          <w:highlight w:val="none"/>
        </w:rPr>
        <w:t>（图1：收、支决算总计变动情况图）</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1"/>
        <w:rPr>
          <w:rFonts w:hint="eastAsia" w:ascii="黑体" w:hAnsi="黑体" w:eastAsia="黑体" w:cs="黑体"/>
          <w:color w:val="auto"/>
          <w:sz w:val="32"/>
          <w:szCs w:val="32"/>
          <w:highlight w:val="none"/>
        </w:rPr>
      </w:pPr>
      <w:bookmarkStart w:id="5" w:name="_Toc2948"/>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收入决算情况说明</w:t>
      </w:r>
      <w:bookmarkEnd w:id="5"/>
      <w:bookmarkStart w:id="35" w:name="_GoBack"/>
      <w:bookmarkEnd w:id="35"/>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 w:hAnsi="仿宋" w:eastAsia="仿宋" w:cs="仿宋"/>
          <w:color w:val="auto"/>
          <w:sz w:val="32"/>
          <w:szCs w:val="32"/>
          <w:highlight w:val="red"/>
          <w:lang w:val="en-US" w:eastAsia="zh-CN"/>
        </w:rPr>
      </w:pPr>
      <w:bookmarkStart w:id="6" w:name="_Toc16006"/>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本年收入合计</w:t>
      </w:r>
      <w:r>
        <w:rPr>
          <w:rFonts w:hint="eastAsia" w:ascii="仿宋" w:hAnsi="仿宋" w:eastAsia="仿宋" w:cs="仿宋"/>
          <w:color w:val="auto"/>
          <w:sz w:val="32"/>
          <w:szCs w:val="32"/>
          <w:highlight w:val="none"/>
          <w:lang w:val="en-US" w:eastAsia="zh-CN"/>
        </w:rPr>
        <w:t>237.47</w:t>
      </w:r>
      <w:r>
        <w:rPr>
          <w:rFonts w:hint="eastAsia" w:ascii="仿宋" w:hAnsi="仿宋" w:eastAsia="仿宋" w:cs="仿宋"/>
          <w:color w:val="auto"/>
          <w:sz w:val="32"/>
          <w:szCs w:val="32"/>
          <w:highlight w:val="none"/>
        </w:rPr>
        <w:t>万元，其中：一般公共预算财政拨款收入</w:t>
      </w:r>
      <w:r>
        <w:rPr>
          <w:rFonts w:hint="eastAsia" w:ascii="仿宋" w:hAnsi="仿宋" w:eastAsia="仿宋" w:cs="仿宋"/>
          <w:color w:val="auto"/>
          <w:sz w:val="32"/>
          <w:szCs w:val="32"/>
          <w:highlight w:val="none"/>
          <w:lang w:val="en-US" w:eastAsia="zh-CN"/>
        </w:rPr>
        <w:t>237.47</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bookmarkEnd w:id="6"/>
      <w:r>
        <w:rPr>
          <w:rFonts w:hint="eastAsia" w:ascii="仿宋" w:hAnsi="仿宋" w:eastAsia="仿宋" w:cs="仿宋"/>
          <w:color w:val="auto"/>
          <w:sz w:val="32"/>
          <w:szCs w:val="32"/>
          <w:highlight w:val="none"/>
          <w:lang w:eastAsia="zh-CN"/>
        </w:rPr>
        <w:t>。</w:t>
      </w:r>
    </w:p>
    <w:p>
      <w:pPr>
        <w:pStyle w:val="4"/>
        <w:rPr>
          <w:rFonts w:hint="eastAsia"/>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1033780</wp:posOffset>
            </wp:positionH>
            <wp:positionV relativeFrom="paragraph">
              <wp:posOffset>151765</wp:posOffset>
            </wp:positionV>
            <wp:extent cx="3427730" cy="2082800"/>
            <wp:effectExtent l="4445" t="4445" r="12065" b="1587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numPr>
          <w:ilvl w:val="0"/>
          <w:numId w:val="0"/>
        </w:numPr>
        <w:rPr>
          <w:rFonts w:hint="eastAsia"/>
        </w:rPr>
      </w:pPr>
    </w:p>
    <w:p>
      <w:pPr>
        <w:pStyle w:val="8"/>
        <w:pageBreakBefore w:val="0"/>
        <w:kinsoku/>
        <w:wordWrap/>
        <w:overflowPunct/>
        <w:topLinePunct w:val="0"/>
        <w:bidi w:val="0"/>
        <w:adjustRightInd w:val="0"/>
        <w:snapToGrid w:val="0"/>
        <w:spacing w:line="560" w:lineRule="exact"/>
        <w:jc w:val="left"/>
        <w:textAlignment w:val="auto"/>
        <w:rPr>
          <w:rFonts w:hint="eastAsia" w:ascii="黑体" w:hAnsi="黑体" w:eastAsia="黑体" w:cs="黑体"/>
          <w:color w:val="auto"/>
          <w:sz w:val="32"/>
          <w:szCs w:val="32"/>
          <w:highlight w:val="none"/>
        </w:rPr>
      </w:pPr>
    </w:p>
    <w:p>
      <w:pPr>
        <w:pStyle w:val="8"/>
        <w:pageBreakBefore w:val="0"/>
        <w:kinsoku/>
        <w:wordWrap/>
        <w:overflowPunct/>
        <w:topLinePunct w:val="0"/>
        <w:bidi w:val="0"/>
        <w:adjustRightInd w:val="0"/>
        <w:snapToGrid w:val="0"/>
        <w:spacing w:line="560" w:lineRule="exact"/>
        <w:jc w:val="left"/>
        <w:textAlignment w:val="auto"/>
        <w:rPr>
          <w:rFonts w:hint="eastAsia" w:ascii="黑体" w:hAnsi="黑体" w:eastAsia="黑体" w:cs="黑体"/>
          <w:color w:val="auto"/>
          <w:sz w:val="32"/>
          <w:szCs w:val="32"/>
          <w:highlight w:val="none"/>
        </w:rPr>
      </w:pPr>
    </w:p>
    <w:p>
      <w:pPr>
        <w:pStyle w:val="8"/>
        <w:pageBreakBefore w:val="0"/>
        <w:kinsoku/>
        <w:wordWrap/>
        <w:overflowPunct/>
        <w:topLinePunct w:val="0"/>
        <w:bidi w:val="0"/>
        <w:adjustRightInd w:val="0"/>
        <w:snapToGrid w:val="0"/>
        <w:spacing w:line="560" w:lineRule="exact"/>
        <w:jc w:val="left"/>
        <w:textAlignment w:val="auto"/>
        <w:rPr>
          <w:rFonts w:hint="eastAsia" w:ascii="黑体" w:hAnsi="黑体" w:eastAsia="黑体" w:cs="黑体"/>
          <w:color w:val="auto"/>
          <w:sz w:val="32"/>
          <w:szCs w:val="32"/>
          <w:highlight w:val="none"/>
        </w:rPr>
      </w:pPr>
    </w:p>
    <w:p>
      <w:pPr>
        <w:pStyle w:val="8"/>
        <w:pageBreakBefore w:val="0"/>
        <w:kinsoku/>
        <w:wordWrap/>
        <w:overflowPunct/>
        <w:topLinePunct w:val="0"/>
        <w:bidi w:val="0"/>
        <w:adjustRightInd w:val="0"/>
        <w:snapToGrid w:val="0"/>
        <w:spacing w:line="560" w:lineRule="exact"/>
        <w:jc w:val="left"/>
        <w:textAlignment w:val="auto"/>
        <w:rPr>
          <w:rFonts w:hint="eastAsia" w:ascii="黑体" w:hAnsi="黑体" w:eastAsia="黑体" w:cs="黑体"/>
          <w:color w:val="auto"/>
          <w:sz w:val="32"/>
          <w:szCs w:val="32"/>
          <w:highlight w:val="none"/>
        </w:rPr>
      </w:pPr>
    </w:p>
    <w:p>
      <w:pPr>
        <w:pStyle w:val="8"/>
        <w:pageBreakBefore w:val="0"/>
        <w:kinsoku/>
        <w:wordWrap/>
        <w:overflowPunct/>
        <w:topLinePunct w:val="0"/>
        <w:bidi w:val="0"/>
        <w:adjustRightInd w:val="0"/>
        <w:snapToGrid w:val="0"/>
        <w:spacing w:line="560" w:lineRule="exact"/>
        <w:ind w:left="0" w:leftChars="0" w:firstLine="0" w:firstLineChars="0"/>
        <w:jc w:val="left"/>
        <w:textAlignment w:val="auto"/>
        <w:rPr>
          <w:rFonts w:hint="eastAsia" w:ascii="黑体" w:hAnsi="黑体" w:eastAsia="黑体" w:cs="黑体"/>
          <w:color w:val="auto"/>
          <w:sz w:val="32"/>
          <w:szCs w:val="32"/>
          <w:highlight w:val="none"/>
        </w:rPr>
      </w:pPr>
    </w:p>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firstLine="320" w:firstLineChars="100"/>
        <w:jc w:val="left"/>
        <w:textAlignment w:val="auto"/>
        <w:outlineLvl w:val="1"/>
        <w:rPr>
          <w:rFonts w:hint="eastAsia" w:ascii="黑体" w:hAnsi="黑体" w:eastAsia="黑体" w:cs="黑体"/>
          <w:color w:val="auto"/>
          <w:sz w:val="32"/>
          <w:szCs w:val="32"/>
          <w:highlight w:val="none"/>
        </w:rPr>
      </w:pPr>
      <w:bookmarkStart w:id="7" w:name="_Toc17379"/>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支出决算情况说明</w:t>
      </w:r>
      <w:bookmarkEnd w:id="7"/>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 w:hAnsi="仿宋" w:eastAsia="仿宋"/>
          <w:color w:val="auto"/>
          <w:sz w:val="32"/>
          <w:szCs w:val="32"/>
          <w:highlight w:val="none"/>
        </w:rPr>
      </w:pPr>
      <w:bookmarkStart w:id="8" w:name="_Toc13394"/>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_GB2312" w:hAnsi="仿宋_GB2312" w:eastAsia="仿宋_GB2312" w:cs="仿宋_GB2312"/>
          <w:color w:val="auto"/>
          <w:sz w:val="32"/>
          <w:szCs w:val="32"/>
          <w:highlight w:val="none"/>
          <w:lang w:val="en-US" w:eastAsia="zh-CN"/>
        </w:rPr>
        <w:t>237.84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172.25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72.42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65.59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27.58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8"/>
    </w:p>
    <w:p>
      <w:pPr>
        <w:pStyle w:val="4"/>
        <w:rPr>
          <w:rFonts w:hint="eastAsia"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1002665</wp:posOffset>
            </wp:positionH>
            <wp:positionV relativeFrom="paragraph">
              <wp:posOffset>201295</wp:posOffset>
            </wp:positionV>
            <wp:extent cx="3373120" cy="2202815"/>
            <wp:effectExtent l="4445" t="4445" r="5715" b="177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4"/>
        <w:rPr>
          <w:rFonts w:hint="eastAsia" w:ascii="仿宋" w:hAnsi="仿宋" w:eastAsia="仿宋"/>
          <w:color w:val="auto"/>
          <w:sz w:val="32"/>
          <w:szCs w:val="32"/>
          <w:highlight w:val="none"/>
        </w:rPr>
      </w:pPr>
    </w:p>
    <w:p>
      <w:pPr>
        <w:pStyle w:val="4"/>
        <w:rPr>
          <w:rFonts w:hint="eastAsia" w:ascii="仿宋" w:hAnsi="仿宋" w:eastAsia="仿宋"/>
          <w:color w:val="auto"/>
          <w:sz w:val="32"/>
          <w:szCs w:val="32"/>
          <w:highlight w:val="none"/>
        </w:rPr>
      </w:pPr>
    </w:p>
    <w:p>
      <w:pPr>
        <w:pStyle w:val="4"/>
        <w:rPr>
          <w:rFonts w:hint="eastAsia" w:ascii="仿宋" w:hAnsi="仿宋" w:eastAsia="仿宋"/>
          <w:color w:val="auto"/>
          <w:sz w:val="32"/>
          <w:szCs w:val="32"/>
          <w:highlight w:val="none"/>
        </w:rPr>
      </w:pPr>
    </w:p>
    <w:p>
      <w:pPr>
        <w:numPr>
          <w:ilvl w:val="0"/>
          <w:numId w:val="0"/>
        </w:numPr>
        <w:ind w:leftChars="200"/>
        <w:rPr>
          <w:rFonts w:hint="eastAsia"/>
        </w:rPr>
      </w:pPr>
    </w:p>
    <w:p>
      <w:pPr>
        <w:pStyle w:val="8"/>
        <w:pageBreakBefore w:val="0"/>
        <w:kinsoku/>
        <w:wordWrap/>
        <w:overflowPunct/>
        <w:topLinePunct w:val="0"/>
        <w:bidi w:val="0"/>
        <w:adjustRightInd w:val="0"/>
        <w:snapToGrid w:val="0"/>
        <w:spacing w:line="560" w:lineRule="exact"/>
        <w:ind w:left="0" w:leftChars="0" w:firstLine="0" w:firstLineChars="0"/>
        <w:jc w:val="left"/>
        <w:textAlignment w:val="auto"/>
        <w:rPr>
          <w:rFonts w:hint="eastAsia" w:ascii="黑体" w:hAnsi="黑体" w:eastAsia="黑体" w:cs="黑体"/>
          <w:color w:val="auto"/>
          <w:sz w:val="32"/>
          <w:szCs w:val="32"/>
          <w:highlight w:val="none"/>
        </w:rPr>
      </w:pPr>
    </w:p>
    <w:p>
      <w:pPr>
        <w:pStyle w:val="8"/>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200" w:firstLine="320" w:firstLineChars="100"/>
        <w:jc w:val="left"/>
        <w:textAlignment w:val="auto"/>
        <w:outlineLvl w:val="1"/>
        <w:rPr>
          <w:rFonts w:hint="eastAsia" w:ascii="黑体" w:hAnsi="黑体" w:eastAsia="黑体" w:cs="黑体"/>
          <w:color w:val="auto"/>
          <w:sz w:val="32"/>
          <w:szCs w:val="32"/>
          <w:highlight w:val="none"/>
        </w:rPr>
      </w:pPr>
      <w:bookmarkStart w:id="9" w:name="_Toc3681"/>
      <w:r>
        <w:rPr>
          <w:rFonts w:hint="eastAsia" w:ascii="黑体" w:hAnsi="黑体" w:eastAsia="黑体" w:cs="黑体"/>
          <w:color w:val="auto"/>
          <w:sz w:val="32"/>
          <w:szCs w:val="32"/>
          <w:highlight w:val="none"/>
        </w:rPr>
        <w:t>财政拨款收入支出决算总体情况说明</w:t>
      </w:r>
      <w:bookmarkEnd w:id="9"/>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eastAsia="zh-CN"/>
        </w:rPr>
        <w:t>2023</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财政拨款收、支总计</w:t>
      </w:r>
      <w:r>
        <w:rPr>
          <w:rFonts w:hint="eastAsia" w:ascii="仿宋" w:hAnsi="仿宋" w:eastAsia="仿宋" w:cs="仿宋"/>
          <w:sz w:val="32"/>
          <w:szCs w:val="32"/>
          <w:lang w:eastAsia="zh-CN"/>
        </w:rPr>
        <w:t>均为</w:t>
      </w:r>
      <w:r>
        <w:rPr>
          <w:rFonts w:hint="eastAsia" w:ascii="仿宋" w:hAnsi="仿宋" w:eastAsia="仿宋" w:cs="仿宋"/>
          <w:sz w:val="32"/>
          <w:szCs w:val="32"/>
          <w:lang w:val="en-US" w:eastAsia="zh-CN"/>
        </w:rPr>
        <w:t>237.84</w:t>
      </w:r>
      <w:r>
        <w:rPr>
          <w:rFonts w:hint="eastAsia" w:ascii="仿宋" w:hAnsi="仿宋" w:eastAsia="仿宋" w:cs="仿宋"/>
          <w:sz w:val="32"/>
          <w:szCs w:val="32"/>
        </w:rPr>
        <w:t>万元。与</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eastAsia="zh-CN"/>
        </w:rPr>
        <w:t>度</w:t>
      </w:r>
      <w:r>
        <w:rPr>
          <w:rFonts w:hint="eastAsia" w:ascii="仿宋" w:hAnsi="仿宋" w:eastAsia="仿宋" w:cs="仿宋"/>
          <w:sz w:val="32"/>
          <w:szCs w:val="32"/>
        </w:rPr>
        <w:t>相比，财政拨款收、支总计各减少</w:t>
      </w:r>
      <w:r>
        <w:rPr>
          <w:rFonts w:hint="eastAsia" w:ascii="仿宋" w:hAnsi="仿宋" w:eastAsia="仿宋" w:cs="仿宋"/>
          <w:sz w:val="32"/>
          <w:szCs w:val="32"/>
          <w:lang w:val="en-US" w:eastAsia="zh-CN"/>
        </w:rPr>
        <w:t>0.14</w:t>
      </w:r>
      <w:r>
        <w:rPr>
          <w:rFonts w:hint="eastAsia" w:ascii="仿宋" w:hAnsi="仿宋" w:eastAsia="仿宋" w:cs="仿宋"/>
          <w:sz w:val="32"/>
          <w:szCs w:val="32"/>
        </w:rPr>
        <w:t>万元，下降</w:t>
      </w:r>
      <w:r>
        <w:rPr>
          <w:rFonts w:hint="eastAsia" w:ascii="仿宋" w:hAnsi="仿宋" w:eastAsia="仿宋" w:cs="仿宋"/>
          <w:sz w:val="32"/>
          <w:szCs w:val="32"/>
          <w:lang w:val="en-US" w:eastAsia="zh-CN"/>
        </w:rPr>
        <w:t>0.5</w:t>
      </w:r>
      <w:r>
        <w:rPr>
          <w:rFonts w:hint="eastAsia" w:ascii="仿宋" w:hAnsi="仿宋" w:eastAsia="仿宋" w:cs="仿宋"/>
          <w:sz w:val="32"/>
          <w:szCs w:val="32"/>
        </w:rPr>
        <w:t>%。主要变动原因是</w:t>
      </w:r>
      <w:r>
        <w:rPr>
          <w:rFonts w:hint="eastAsia" w:ascii="仿宋" w:hAnsi="仿宋" w:eastAsia="仿宋" w:cs="仿宋"/>
          <w:sz w:val="32"/>
          <w:szCs w:val="32"/>
          <w:lang w:val="en-US" w:eastAsia="zh-CN"/>
        </w:rPr>
        <w:t>人员变动</w:t>
      </w:r>
      <w:r>
        <w:rPr>
          <w:rFonts w:hint="eastAsia" w:ascii="仿宋" w:hAnsi="仿宋" w:eastAsia="仿宋" w:cs="仿宋"/>
          <w:sz w:val="32"/>
          <w:szCs w:val="32"/>
          <w:lang w:val="zh-CN"/>
        </w:rPr>
        <w:t>。</w:t>
      </w:r>
    </w:p>
    <w:p>
      <w:pPr>
        <w:keepNext/>
        <w:keepLines/>
        <w:pageBreakBefore w:val="0"/>
        <w:widowControl w:val="0"/>
        <w:kinsoku/>
        <w:wordWrap/>
        <w:overflowPunct/>
        <w:topLinePunct w:val="0"/>
        <w:autoSpaceDE/>
        <w:autoSpaceDN/>
        <w:bidi w:val="0"/>
        <w:spacing w:beforeLines="0" w:afterLines="0" w:line="560" w:lineRule="exact"/>
        <w:ind w:firstLine="960" w:firstLineChars="300"/>
        <w:jc w:val="both"/>
        <w:textAlignment w:val="auto"/>
        <w:rPr>
          <w:rFonts w:hint="eastAsia" w:ascii="黑体" w:hAnsi="黑体" w:eastAsia="黑体" w:cs="黑体"/>
          <w:color w:val="auto"/>
          <w:sz w:val="32"/>
          <w:szCs w:val="32"/>
          <w:highlight w:val="none"/>
          <w:lang w:val="en-US" w:eastAsia="zh-CN"/>
        </w:rPr>
      </w:pPr>
      <w:r>
        <w:rPr>
          <w:rFonts w:hint="eastAsia" w:ascii="仿宋_GB2312" w:eastAsia="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1033145</wp:posOffset>
            </wp:positionH>
            <wp:positionV relativeFrom="paragraph">
              <wp:posOffset>212725</wp:posOffset>
            </wp:positionV>
            <wp:extent cx="3481070" cy="2094865"/>
            <wp:effectExtent l="4445" t="4445" r="19685" b="1905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auto"/>
          <w:sz w:val="32"/>
          <w:szCs w:val="32"/>
          <w:highlight w:val="none"/>
        </w:rPr>
        <w:t>（图4：财政拨款收、支决算总计变动情况）</w:t>
      </w:r>
    </w:p>
    <w:p>
      <w:pPr>
        <w:pStyle w:val="8"/>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1"/>
        <w:rPr>
          <w:rFonts w:hint="eastAsia" w:ascii="黑体" w:hAnsi="黑体" w:eastAsia="黑体" w:cs="黑体"/>
          <w:color w:val="auto"/>
          <w:sz w:val="32"/>
          <w:szCs w:val="32"/>
          <w:highlight w:val="none"/>
        </w:rPr>
      </w:pPr>
      <w:bookmarkStart w:id="10" w:name="_Toc14159"/>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一般公共预算财政拨款支出决算情况说明</w:t>
      </w:r>
      <w:bookmarkEnd w:id="10"/>
    </w:p>
    <w:p>
      <w:pPr>
        <w:pageBreakBefore w:val="0"/>
        <w:widowControl w:val="0"/>
        <w:kinsoku/>
        <w:wordWrap/>
        <w:overflowPunct/>
        <w:topLinePunct w:val="0"/>
        <w:autoSpaceDE/>
        <w:autoSpaceDN/>
        <w:bidi w:val="0"/>
        <w:spacing w:line="560" w:lineRule="exact"/>
        <w:ind w:firstLine="643" w:firstLineChars="200"/>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（一）一般公共预算财政拨款支出决算总体情况</w:t>
      </w:r>
    </w:p>
    <w:p>
      <w:pPr>
        <w:pStyle w:val="8"/>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kern w:val="2"/>
          <w:sz w:val="32"/>
          <w:szCs w:val="24"/>
          <w:lang w:val="zh-CN"/>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一般公共预算财政拨款支出</w:t>
      </w:r>
      <w:r>
        <w:rPr>
          <w:rFonts w:hint="eastAsia" w:ascii="仿宋" w:hAnsi="仿宋" w:eastAsia="仿宋" w:cs="仿宋"/>
          <w:color w:val="auto"/>
          <w:sz w:val="32"/>
          <w:szCs w:val="32"/>
          <w:highlight w:val="none"/>
          <w:lang w:val="en-US" w:eastAsia="zh-CN"/>
        </w:rPr>
        <w:t>237.84</w:t>
      </w:r>
      <w:r>
        <w:rPr>
          <w:rFonts w:hint="eastAsia" w:ascii="仿宋" w:hAnsi="仿宋" w:eastAsia="仿宋" w:cs="仿宋"/>
          <w:color w:val="auto"/>
          <w:sz w:val="32"/>
          <w:szCs w:val="32"/>
          <w:highlight w:val="none"/>
        </w:rPr>
        <w:t>万元，占本年支出合计的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%。与</w:t>
      </w:r>
      <w:r>
        <w:rPr>
          <w:rFonts w:hint="eastAsia" w:ascii="仿宋" w:hAnsi="仿宋" w:eastAsia="仿宋" w:cs="仿宋"/>
          <w:color w:val="auto"/>
          <w:sz w:val="32"/>
          <w:szCs w:val="32"/>
          <w:highlight w:val="none"/>
          <w:lang w:eastAsia="zh-CN"/>
        </w:rPr>
        <w:t>2022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相比，一般公共预算财政拨款</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19.86</w:t>
      </w:r>
      <w:r>
        <w:rPr>
          <w:rFonts w:hint="eastAsia" w:ascii="仿宋" w:hAnsi="仿宋" w:eastAsia="仿宋" w:cs="仿宋"/>
          <w:color w:val="auto"/>
          <w:sz w:val="32"/>
          <w:szCs w:val="32"/>
          <w:highlight w:val="none"/>
        </w:rPr>
        <w:t>万元，增长</w:t>
      </w:r>
      <w:r>
        <w:rPr>
          <w:rFonts w:hint="eastAsia" w:ascii="仿宋" w:hAnsi="仿宋" w:eastAsia="仿宋" w:cs="仿宋"/>
          <w:color w:val="auto"/>
          <w:sz w:val="32"/>
          <w:szCs w:val="32"/>
          <w:highlight w:val="none"/>
          <w:lang w:val="en-US" w:eastAsia="zh-CN"/>
        </w:rPr>
        <w:t>9.1</w:t>
      </w:r>
      <w:r>
        <w:rPr>
          <w:rFonts w:hint="eastAsia" w:ascii="仿宋" w:hAnsi="仿宋" w:eastAsia="仿宋" w:cs="仿宋"/>
          <w:color w:val="auto"/>
          <w:sz w:val="32"/>
          <w:szCs w:val="32"/>
          <w:highlight w:val="none"/>
        </w:rPr>
        <w:t>%。</w:t>
      </w:r>
      <w:r>
        <w:rPr>
          <w:rFonts w:hint="eastAsia" w:ascii="仿宋" w:hAnsi="仿宋" w:eastAsia="仿宋" w:cs="仿宋"/>
          <w:color w:val="000000"/>
          <w:kern w:val="2"/>
          <w:sz w:val="32"/>
          <w:szCs w:val="24"/>
          <w:lang w:val="zh-CN"/>
        </w:rPr>
        <w:t>主要变动原因是</w:t>
      </w:r>
      <w:r>
        <w:rPr>
          <w:rFonts w:hint="eastAsia" w:ascii="仿宋" w:hAnsi="仿宋" w:eastAsia="仿宋" w:cs="仿宋"/>
          <w:sz w:val="32"/>
          <w:szCs w:val="32"/>
          <w:lang w:val="en-US" w:eastAsia="zh-CN"/>
        </w:rPr>
        <w:t>人员变动、生存环境及社会环境的改善和医疗水平的提高</w:t>
      </w:r>
      <w:r>
        <w:rPr>
          <w:rFonts w:hint="eastAsia" w:ascii="仿宋" w:hAnsi="仿宋" w:eastAsia="仿宋" w:cs="仿宋"/>
          <w:color w:val="000000"/>
          <w:kern w:val="2"/>
          <w:sz w:val="32"/>
          <w:szCs w:val="24"/>
          <w:lang w:val="zh-CN"/>
        </w:rPr>
        <w:t>。</w:t>
      </w:r>
    </w:p>
    <w:p>
      <w:pPr>
        <w:pageBreakBefore w:val="0"/>
        <w:widowControl w:val="0"/>
        <w:kinsoku/>
        <w:wordWrap/>
        <w:overflowPunct/>
        <w:topLinePunct w:val="0"/>
        <w:autoSpaceDE/>
        <w:autoSpaceDN/>
        <w:bidi w:val="0"/>
        <w:spacing w:line="560" w:lineRule="exact"/>
        <w:textAlignment w:val="auto"/>
        <w:rPr>
          <w:rFonts w:hint="default" w:ascii="仿宋_GB2312" w:hAnsi="仿宋_GB2312" w:eastAsia="仿宋_GB2312"/>
          <w:color w:val="000000"/>
          <w:kern w:val="2"/>
          <w:sz w:val="32"/>
          <w:szCs w:val="24"/>
          <w:lang w:val="zh-CN"/>
        </w:rPr>
      </w:pPr>
      <w:r>
        <w:rPr>
          <w:rFonts w:hint="eastAsia" w:ascii="仿宋_GB2312" w:eastAsia="仿宋_GB2312"/>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766445</wp:posOffset>
            </wp:positionH>
            <wp:positionV relativeFrom="paragraph">
              <wp:posOffset>113030</wp:posOffset>
            </wp:positionV>
            <wp:extent cx="3596005" cy="2186940"/>
            <wp:effectExtent l="4445" t="4445" r="11430" b="184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4"/>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（二）一般公共预算财政拨款支出决算结构情况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一般公共预算财政拨款支出</w:t>
      </w:r>
      <w:r>
        <w:rPr>
          <w:rFonts w:hint="eastAsia" w:ascii="仿宋" w:hAnsi="仿宋" w:eastAsia="仿宋" w:cs="仿宋"/>
          <w:color w:val="auto"/>
          <w:sz w:val="32"/>
          <w:szCs w:val="32"/>
          <w:highlight w:val="none"/>
          <w:lang w:val="en-US" w:eastAsia="zh-CN"/>
        </w:rPr>
        <w:t>237.84</w:t>
      </w:r>
      <w:r>
        <w:rPr>
          <w:rFonts w:hint="eastAsia" w:ascii="仿宋" w:hAnsi="仿宋" w:eastAsia="仿宋" w:cs="仿宋"/>
          <w:color w:val="auto"/>
          <w:sz w:val="32"/>
          <w:szCs w:val="32"/>
          <w:highlight w:val="none"/>
        </w:rPr>
        <w:t>万元，主要用于以下方面</w:t>
      </w:r>
      <w:r>
        <w:rPr>
          <w:rFonts w:hint="eastAsia" w:ascii="仿宋" w:hAnsi="仿宋" w:eastAsia="仿宋" w:cs="仿宋"/>
          <w:color w:val="auto"/>
          <w:sz w:val="32"/>
          <w:szCs w:val="32"/>
          <w:highlight w:val="none"/>
          <w:lang w:eastAsia="zh-CN"/>
        </w:rPr>
        <w:t>：</w:t>
      </w:r>
      <w:r>
        <w:rPr>
          <w:rFonts w:hint="eastAsia" w:ascii="仿宋" w:hAnsi="仿宋" w:eastAsia="仿宋" w:cs="仿宋"/>
          <w:b/>
          <w:color w:val="auto"/>
          <w:sz w:val="32"/>
          <w:szCs w:val="32"/>
          <w:highlight w:val="none"/>
        </w:rPr>
        <w:t>社会保障和就业</w:t>
      </w:r>
      <w:r>
        <w:rPr>
          <w:rFonts w:hint="eastAsia" w:ascii="仿宋" w:hAnsi="仿宋" w:eastAsia="仿宋" w:cs="仿宋"/>
          <w:b/>
          <w:bCs/>
          <w:color w:val="auto"/>
          <w:sz w:val="32"/>
          <w:szCs w:val="32"/>
          <w:highlight w:val="none"/>
        </w:rPr>
        <w:t>支出</w:t>
      </w:r>
      <w:r>
        <w:rPr>
          <w:rFonts w:hint="eastAsia" w:ascii="仿宋" w:hAnsi="仿宋" w:eastAsia="仿宋" w:cs="仿宋"/>
          <w:color w:val="auto"/>
          <w:sz w:val="32"/>
          <w:szCs w:val="32"/>
          <w:highlight w:val="none"/>
          <w:lang w:val="en-US" w:eastAsia="zh-CN"/>
        </w:rPr>
        <w:t>221.76</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93.23</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卫生健康支出</w:t>
      </w:r>
      <w:r>
        <w:rPr>
          <w:rFonts w:hint="eastAsia" w:ascii="仿宋" w:hAnsi="仿宋" w:eastAsia="仿宋" w:cs="仿宋"/>
          <w:color w:val="auto"/>
          <w:sz w:val="32"/>
          <w:szCs w:val="32"/>
          <w:highlight w:val="none"/>
          <w:lang w:val="en-US" w:eastAsia="zh-CN"/>
        </w:rPr>
        <w:t>5.37</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2.26</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住房保障支出</w:t>
      </w:r>
      <w:r>
        <w:rPr>
          <w:rFonts w:hint="eastAsia" w:ascii="仿宋" w:hAnsi="仿宋" w:eastAsia="仿宋" w:cs="仿宋"/>
          <w:color w:val="auto"/>
          <w:sz w:val="32"/>
          <w:szCs w:val="32"/>
          <w:highlight w:val="none"/>
          <w:lang w:val="en-US" w:eastAsia="zh-CN"/>
        </w:rPr>
        <w:t>10.72</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4.51</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pStyle w:val="4"/>
        <w:rPr>
          <w:rFonts w:hint="default" w:ascii="仿宋_GB2312" w:hAnsi="仿宋_GB2312" w:eastAsia="仿宋_GB2312"/>
          <w:color w:val="000000"/>
          <w:kern w:val="2"/>
          <w:sz w:val="32"/>
          <w:szCs w:val="24"/>
          <w:lang w:val="zh-CN"/>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2336" behindDoc="0" locked="0" layoutInCell="1" allowOverlap="1">
            <wp:simplePos x="0" y="0"/>
            <wp:positionH relativeFrom="column">
              <wp:posOffset>423545</wp:posOffset>
            </wp:positionH>
            <wp:positionV relativeFrom="paragraph">
              <wp:posOffset>271145</wp:posOffset>
            </wp:positionV>
            <wp:extent cx="4439920" cy="2499360"/>
            <wp:effectExtent l="4445" t="4445" r="5715" b="1079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4"/>
        <w:rPr>
          <w:rFonts w:hint="default" w:ascii="仿宋_GB2312" w:hAnsi="仿宋_GB2312" w:eastAsia="仿宋_GB2312"/>
          <w:color w:val="000000"/>
          <w:kern w:val="2"/>
          <w:sz w:val="32"/>
          <w:szCs w:val="24"/>
          <w:lang w:val="zh-CN"/>
        </w:rPr>
      </w:pPr>
    </w:p>
    <w:p>
      <w:pPr>
        <w:spacing w:line="600" w:lineRule="exact"/>
        <w:ind w:firstLine="640" w:firstLineChars="200"/>
        <w:rPr>
          <w:rFonts w:hint="eastAsia" w:ascii="仿宋_GB2312" w:hAnsi="仿宋_GB2312" w:eastAsia="仿宋_GB2312" w:cs="仿宋_GB2312"/>
          <w:color w:val="auto"/>
          <w:sz w:val="32"/>
          <w:szCs w:val="32"/>
          <w:highlight w:val="none"/>
        </w:rPr>
      </w:pPr>
    </w:p>
    <w:p>
      <w:pPr>
        <w:spacing w:line="600" w:lineRule="exact"/>
        <w:ind w:firstLine="640" w:firstLineChars="200"/>
        <w:rPr>
          <w:rFonts w:hint="eastAsia" w:ascii="仿宋_GB2312" w:hAnsi="仿宋_GB2312" w:eastAsia="仿宋_GB2312" w:cs="仿宋_GB2312"/>
          <w:color w:val="auto"/>
          <w:sz w:val="32"/>
          <w:szCs w:val="32"/>
          <w:highlight w:val="none"/>
        </w:rPr>
      </w:pPr>
    </w:p>
    <w:p>
      <w:pPr>
        <w:pStyle w:val="4"/>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（三）一般公共预算财政拨款支出决算具体情况</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Fonts w:hint="eastAsia" w:ascii="仿宋" w:hAnsi="仿宋" w:eastAsia="仿宋" w:cs="仿宋"/>
          <w:color w:val="auto"/>
          <w:sz w:val="32"/>
          <w:szCs w:val="32"/>
          <w:highlight w:val="none"/>
        </w:rPr>
      </w:pPr>
      <w:bookmarkStart w:id="11" w:name="_Toc11175"/>
      <w:r>
        <w:rPr>
          <w:rFonts w:hint="eastAsia" w:ascii="仿宋" w:hAnsi="仿宋" w:eastAsia="仿宋" w:cs="仿宋"/>
          <w:b/>
          <w:color w:val="auto"/>
          <w:sz w:val="32"/>
          <w:szCs w:val="32"/>
          <w:highlight w:val="none"/>
          <w:lang w:eastAsia="zh-CN"/>
        </w:rPr>
        <w:t>2023</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eastAsia="zh-CN"/>
        </w:rPr>
        <w:t>度一</w:t>
      </w:r>
      <w:r>
        <w:rPr>
          <w:rFonts w:hint="eastAsia" w:ascii="仿宋" w:hAnsi="仿宋" w:eastAsia="仿宋" w:cs="仿宋"/>
          <w:b/>
          <w:color w:val="auto"/>
          <w:sz w:val="32"/>
          <w:szCs w:val="32"/>
          <w:highlight w:val="none"/>
        </w:rPr>
        <w:t>般公共预算支出决算数为</w:t>
      </w:r>
      <w:r>
        <w:rPr>
          <w:rFonts w:hint="eastAsia" w:ascii="仿宋" w:hAnsi="仿宋" w:eastAsia="仿宋" w:cs="仿宋"/>
          <w:color w:val="auto"/>
          <w:sz w:val="32"/>
          <w:szCs w:val="32"/>
          <w:highlight w:val="none"/>
          <w:lang w:val="en-US" w:eastAsia="zh-CN"/>
        </w:rPr>
        <w:t>237.84</w:t>
      </w:r>
      <w:r>
        <w:rPr>
          <w:rFonts w:hint="eastAsia" w:ascii="仿宋" w:hAnsi="仿宋" w:eastAsia="仿宋" w:cs="仿宋"/>
          <w:b/>
          <w:color w:val="auto"/>
          <w:sz w:val="32"/>
          <w:szCs w:val="32"/>
          <w:highlight w:val="none"/>
          <w:lang w:eastAsia="zh-CN"/>
        </w:rPr>
        <w:t>万元</w:t>
      </w:r>
      <w:r>
        <w:rPr>
          <w:rFonts w:hint="eastAsia" w:ascii="仿宋" w:hAnsi="仿宋" w:eastAsia="仿宋" w:cs="仿宋"/>
          <w:color w:val="auto"/>
          <w:sz w:val="32"/>
          <w:szCs w:val="32"/>
          <w:highlight w:val="none"/>
        </w:rPr>
        <w:t>，</w:t>
      </w:r>
      <w:r>
        <w:rPr>
          <w:rStyle w:val="11"/>
          <w:rFonts w:hint="eastAsia" w:ascii="仿宋" w:hAnsi="仿宋" w:eastAsia="仿宋" w:cs="仿宋"/>
          <w:bCs/>
          <w:color w:val="auto"/>
          <w:sz w:val="32"/>
          <w:szCs w:val="32"/>
          <w:highlight w:val="none"/>
        </w:rPr>
        <w:t>完成预算</w:t>
      </w:r>
      <w:r>
        <w:rPr>
          <w:rStyle w:val="11"/>
          <w:rFonts w:hint="eastAsia" w:ascii="仿宋" w:hAnsi="仿宋" w:eastAsia="仿宋" w:cs="仿宋"/>
          <w:bCs/>
          <w:color w:val="auto"/>
          <w:sz w:val="32"/>
          <w:szCs w:val="32"/>
          <w:highlight w:val="none"/>
          <w:lang w:val="en-US" w:eastAsia="zh-CN"/>
        </w:rPr>
        <w:t>100</w:t>
      </w:r>
      <w:r>
        <w:rPr>
          <w:rStyle w:val="11"/>
          <w:rFonts w:hint="eastAsia" w:ascii="仿宋" w:hAnsi="仿宋" w:eastAsia="仿宋" w:cs="仿宋"/>
          <w:bCs/>
          <w:color w:val="auto"/>
          <w:sz w:val="32"/>
          <w:szCs w:val="32"/>
          <w:highlight w:val="none"/>
        </w:rPr>
        <w:t>%。其中：</w:t>
      </w:r>
      <w:bookmarkEnd w:id="11"/>
    </w:p>
    <w:p>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3" w:firstLineChars="200"/>
        <w:textAlignment w:val="auto"/>
        <w:rPr>
          <w:rStyle w:val="11"/>
          <w:rFonts w:hint="eastAsia" w:ascii="仿宋" w:hAnsi="仿宋" w:eastAsia="仿宋" w:cs="仿宋"/>
          <w:color w:val="auto"/>
          <w:sz w:val="32"/>
          <w:szCs w:val="24"/>
        </w:rPr>
      </w:pPr>
      <w:r>
        <w:rPr>
          <w:rStyle w:val="11"/>
          <w:rFonts w:hint="eastAsia" w:ascii="仿宋" w:hAnsi="仿宋" w:eastAsia="仿宋" w:cs="仿宋"/>
          <w:color w:val="auto"/>
          <w:sz w:val="32"/>
          <w:szCs w:val="24"/>
          <w:lang w:val="en-US" w:eastAsia="zh-CN"/>
        </w:rPr>
        <w:t>1.</w:t>
      </w:r>
      <w:r>
        <w:rPr>
          <w:rStyle w:val="11"/>
          <w:rFonts w:hint="eastAsia" w:ascii="仿宋" w:hAnsi="仿宋" w:eastAsia="仿宋" w:cs="仿宋"/>
          <w:color w:val="auto"/>
          <w:sz w:val="32"/>
          <w:szCs w:val="24"/>
        </w:rPr>
        <w:t>社会保障和就业</w:t>
      </w:r>
      <w:r>
        <w:rPr>
          <w:rFonts w:hint="eastAsia" w:ascii="仿宋" w:hAnsi="仿宋" w:eastAsia="仿宋" w:cs="仿宋"/>
          <w:b/>
          <w:sz w:val="32"/>
          <w:szCs w:val="32"/>
          <w:lang w:val="en-US" w:eastAsia="zh-CN"/>
        </w:rPr>
        <w:t>支出（类）行政事业单位养老支出（款）机关事业单位基本养老保险缴费支出（项）</w:t>
      </w:r>
      <w:r>
        <w:rPr>
          <w:rFonts w:hint="eastAsia" w:ascii="仿宋" w:hAnsi="仿宋" w:eastAsia="仿宋" w:cs="仿宋"/>
          <w:sz w:val="32"/>
          <w:szCs w:val="32"/>
          <w:lang w:val="en-US" w:eastAsia="zh-CN"/>
        </w:rPr>
        <w:t>：</w:t>
      </w:r>
      <w:r>
        <w:rPr>
          <w:rStyle w:val="11"/>
          <w:rFonts w:hint="eastAsia" w:ascii="仿宋" w:hAnsi="仿宋" w:eastAsia="仿宋" w:cs="仿宋"/>
          <w:b w:val="0"/>
          <w:color w:val="auto"/>
          <w:sz w:val="32"/>
          <w:szCs w:val="24"/>
        </w:rPr>
        <w:t>支出决算为</w:t>
      </w:r>
      <w:r>
        <w:rPr>
          <w:rStyle w:val="11"/>
          <w:rFonts w:hint="eastAsia" w:ascii="仿宋" w:hAnsi="仿宋" w:eastAsia="仿宋" w:cs="仿宋"/>
          <w:b w:val="0"/>
          <w:color w:val="auto"/>
          <w:sz w:val="32"/>
          <w:szCs w:val="24"/>
          <w:lang w:val="en-US" w:eastAsia="zh-CN"/>
        </w:rPr>
        <w:t>20.19</w:t>
      </w:r>
      <w:r>
        <w:rPr>
          <w:rStyle w:val="11"/>
          <w:rFonts w:hint="eastAsia" w:ascii="仿宋" w:hAnsi="仿宋" w:eastAsia="仿宋" w:cs="仿宋"/>
          <w:b w:val="0"/>
          <w:color w:val="auto"/>
          <w:sz w:val="32"/>
          <w:szCs w:val="24"/>
        </w:rPr>
        <w:t>万元，完成预算</w:t>
      </w:r>
      <w:r>
        <w:rPr>
          <w:rStyle w:val="11"/>
          <w:rFonts w:hint="eastAsia" w:ascii="仿宋" w:hAnsi="仿宋" w:eastAsia="仿宋" w:cs="仿宋"/>
          <w:b w:val="0"/>
          <w:color w:val="auto"/>
          <w:sz w:val="32"/>
          <w:szCs w:val="24"/>
          <w:lang w:val="en-US" w:eastAsia="zh-CN"/>
        </w:rPr>
        <w:t>100</w:t>
      </w:r>
      <w:r>
        <w:rPr>
          <w:rStyle w:val="11"/>
          <w:rFonts w:hint="eastAsia" w:ascii="仿宋" w:hAnsi="仿宋" w:eastAsia="仿宋" w:cs="仿宋"/>
          <w:b w:val="0"/>
          <w:color w:val="auto"/>
          <w:sz w:val="32"/>
          <w:szCs w:val="24"/>
        </w:rPr>
        <w:t>%。</w:t>
      </w:r>
    </w:p>
    <w:p>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3" w:firstLineChars="200"/>
        <w:textAlignment w:val="auto"/>
        <w:rPr>
          <w:rFonts w:hint="eastAsia" w:ascii="仿宋" w:hAnsi="仿宋" w:eastAsia="仿宋" w:cs="仿宋"/>
          <w:b/>
          <w:color w:val="auto"/>
          <w:sz w:val="32"/>
          <w:szCs w:val="24"/>
        </w:rPr>
      </w:pPr>
      <w:r>
        <w:rPr>
          <w:rStyle w:val="11"/>
          <w:rFonts w:hint="eastAsia" w:ascii="仿宋" w:hAnsi="仿宋" w:eastAsia="仿宋" w:cs="仿宋"/>
          <w:color w:val="auto"/>
          <w:sz w:val="32"/>
          <w:szCs w:val="24"/>
          <w:lang w:val="en-US" w:eastAsia="zh-CN"/>
        </w:rPr>
        <w:t>2.</w:t>
      </w:r>
      <w:r>
        <w:rPr>
          <w:rStyle w:val="11"/>
          <w:rFonts w:hint="eastAsia" w:ascii="仿宋" w:hAnsi="仿宋" w:eastAsia="仿宋" w:cs="仿宋"/>
          <w:color w:val="auto"/>
          <w:sz w:val="32"/>
          <w:szCs w:val="24"/>
        </w:rPr>
        <w:t>社会保障和就业</w:t>
      </w:r>
      <w:r>
        <w:rPr>
          <w:rFonts w:hint="eastAsia" w:ascii="仿宋" w:hAnsi="仿宋" w:eastAsia="仿宋" w:cs="仿宋"/>
          <w:b/>
          <w:sz w:val="32"/>
          <w:szCs w:val="32"/>
          <w:lang w:val="en-US" w:eastAsia="zh-CN"/>
        </w:rPr>
        <w:t>支出（类）行政事业单位养老支出</w:t>
      </w:r>
      <w:r>
        <w:rPr>
          <w:rStyle w:val="11"/>
          <w:rFonts w:hint="eastAsia" w:ascii="仿宋" w:hAnsi="仿宋" w:eastAsia="仿宋" w:cs="仿宋"/>
          <w:color w:val="auto"/>
          <w:sz w:val="32"/>
          <w:szCs w:val="24"/>
        </w:rPr>
        <w:t>（款）</w:t>
      </w:r>
      <w:r>
        <w:rPr>
          <w:rFonts w:hint="eastAsia" w:ascii="仿宋" w:hAnsi="仿宋" w:eastAsia="仿宋" w:cs="仿宋"/>
          <w:b/>
          <w:sz w:val="32"/>
          <w:szCs w:val="32"/>
          <w:lang w:val="en-US" w:eastAsia="zh-CN"/>
        </w:rPr>
        <w:t>机关事业单位职业年金缴费支出</w:t>
      </w:r>
      <w:r>
        <w:rPr>
          <w:rStyle w:val="11"/>
          <w:rFonts w:hint="eastAsia" w:ascii="仿宋" w:hAnsi="仿宋" w:eastAsia="仿宋" w:cs="仿宋"/>
          <w:color w:val="auto"/>
          <w:sz w:val="32"/>
          <w:szCs w:val="24"/>
        </w:rPr>
        <w:t>（项）</w:t>
      </w:r>
      <w:r>
        <w:rPr>
          <w:rStyle w:val="11"/>
          <w:rFonts w:hint="eastAsia" w:ascii="仿宋" w:hAnsi="仿宋" w:eastAsia="仿宋" w:cs="仿宋"/>
          <w:color w:val="auto"/>
          <w:sz w:val="32"/>
          <w:szCs w:val="24"/>
          <w:lang w:eastAsia="zh-CN"/>
        </w:rPr>
        <w:t>：</w:t>
      </w:r>
      <w:r>
        <w:rPr>
          <w:rStyle w:val="11"/>
          <w:rFonts w:hint="eastAsia" w:ascii="仿宋" w:hAnsi="仿宋" w:eastAsia="仿宋" w:cs="仿宋"/>
          <w:b w:val="0"/>
          <w:color w:val="auto"/>
          <w:sz w:val="32"/>
          <w:szCs w:val="24"/>
        </w:rPr>
        <w:t>支出决算为</w:t>
      </w:r>
      <w:r>
        <w:rPr>
          <w:rStyle w:val="11"/>
          <w:rFonts w:hint="eastAsia" w:ascii="仿宋" w:hAnsi="仿宋" w:eastAsia="仿宋" w:cs="仿宋"/>
          <w:b w:val="0"/>
          <w:color w:val="auto"/>
          <w:sz w:val="32"/>
          <w:szCs w:val="24"/>
          <w:lang w:val="en-US" w:eastAsia="zh-CN"/>
        </w:rPr>
        <w:t>6.81</w:t>
      </w:r>
      <w:r>
        <w:rPr>
          <w:rStyle w:val="11"/>
          <w:rFonts w:hint="eastAsia" w:ascii="仿宋" w:hAnsi="仿宋" w:eastAsia="仿宋" w:cs="仿宋"/>
          <w:b w:val="0"/>
          <w:color w:val="auto"/>
          <w:sz w:val="32"/>
          <w:szCs w:val="24"/>
        </w:rPr>
        <w:t>万元，完成预算</w:t>
      </w:r>
      <w:r>
        <w:rPr>
          <w:rStyle w:val="11"/>
          <w:rFonts w:hint="eastAsia" w:ascii="仿宋" w:hAnsi="仿宋" w:eastAsia="仿宋" w:cs="仿宋"/>
          <w:b w:val="0"/>
          <w:color w:val="auto"/>
          <w:sz w:val="32"/>
          <w:szCs w:val="24"/>
          <w:lang w:val="en-US" w:eastAsia="zh-CN"/>
        </w:rPr>
        <w:t>100</w:t>
      </w:r>
      <w:r>
        <w:rPr>
          <w:rStyle w:val="11"/>
          <w:rFonts w:hint="eastAsia" w:ascii="仿宋" w:hAnsi="仿宋" w:eastAsia="仿宋" w:cs="仿宋"/>
          <w:b w:val="0"/>
          <w:color w:val="auto"/>
          <w:sz w:val="32"/>
          <w:szCs w:val="24"/>
        </w:rPr>
        <w:t>%。</w:t>
      </w:r>
    </w:p>
    <w:p>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3" w:firstLineChars="200"/>
        <w:textAlignment w:val="auto"/>
        <w:rPr>
          <w:rStyle w:val="11"/>
          <w:rFonts w:hint="eastAsia" w:ascii="仿宋" w:hAnsi="仿宋" w:eastAsia="仿宋" w:cs="仿宋"/>
          <w:b w:val="0"/>
          <w:color w:val="auto"/>
          <w:sz w:val="32"/>
          <w:szCs w:val="24"/>
        </w:rPr>
      </w:pPr>
      <w:r>
        <w:rPr>
          <w:rStyle w:val="11"/>
          <w:rFonts w:hint="eastAsia" w:ascii="仿宋" w:hAnsi="仿宋" w:eastAsia="仿宋" w:cs="仿宋"/>
          <w:color w:val="auto"/>
          <w:sz w:val="32"/>
          <w:szCs w:val="24"/>
          <w:lang w:val="en-US" w:eastAsia="zh-CN"/>
        </w:rPr>
        <w:t>3.</w:t>
      </w:r>
      <w:r>
        <w:rPr>
          <w:rFonts w:hint="eastAsia" w:ascii="仿宋" w:hAnsi="仿宋" w:eastAsia="仿宋" w:cs="仿宋"/>
          <w:b/>
          <w:sz w:val="32"/>
          <w:szCs w:val="32"/>
          <w:lang w:val="en-US" w:eastAsia="zh-CN"/>
        </w:rPr>
        <w:t>社会保障和就业支出（类）社会福利（款）老年福利（项）：</w:t>
      </w:r>
      <w:r>
        <w:rPr>
          <w:rStyle w:val="11"/>
          <w:rFonts w:hint="eastAsia" w:ascii="仿宋" w:hAnsi="仿宋" w:eastAsia="仿宋" w:cs="仿宋"/>
          <w:b w:val="0"/>
          <w:color w:val="auto"/>
          <w:sz w:val="32"/>
          <w:szCs w:val="24"/>
        </w:rPr>
        <w:t>支出决算为</w:t>
      </w:r>
      <w:r>
        <w:rPr>
          <w:rStyle w:val="11"/>
          <w:rFonts w:hint="eastAsia" w:ascii="仿宋" w:hAnsi="仿宋" w:eastAsia="仿宋" w:cs="仿宋"/>
          <w:b w:val="0"/>
          <w:color w:val="auto"/>
          <w:sz w:val="32"/>
          <w:szCs w:val="24"/>
          <w:lang w:val="en-US" w:eastAsia="zh-CN"/>
        </w:rPr>
        <w:t>157.25</w:t>
      </w:r>
      <w:r>
        <w:rPr>
          <w:rStyle w:val="11"/>
          <w:rFonts w:hint="eastAsia" w:ascii="仿宋" w:hAnsi="仿宋" w:eastAsia="仿宋" w:cs="仿宋"/>
          <w:b w:val="0"/>
          <w:color w:val="auto"/>
          <w:sz w:val="32"/>
          <w:szCs w:val="24"/>
        </w:rPr>
        <w:t>万元，完成预算</w:t>
      </w:r>
      <w:r>
        <w:rPr>
          <w:rStyle w:val="11"/>
          <w:rFonts w:hint="eastAsia" w:ascii="仿宋" w:hAnsi="仿宋" w:eastAsia="仿宋" w:cs="仿宋"/>
          <w:b w:val="0"/>
          <w:color w:val="auto"/>
          <w:sz w:val="32"/>
          <w:szCs w:val="24"/>
          <w:lang w:val="en-US" w:eastAsia="zh-CN"/>
        </w:rPr>
        <w:t>100</w:t>
      </w:r>
      <w:r>
        <w:rPr>
          <w:rStyle w:val="11"/>
          <w:rFonts w:hint="eastAsia" w:ascii="仿宋" w:hAnsi="仿宋" w:eastAsia="仿宋" w:cs="仿宋"/>
          <w:b w:val="0"/>
          <w:color w:val="auto"/>
          <w:sz w:val="32"/>
          <w:szCs w:val="24"/>
        </w:rPr>
        <w:t>%。</w:t>
      </w:r>
    </w:p>
    <w:p>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3" w:firstLineChars="200"/>
        <w:textAlignment w:val="auto"/>
        <w:rPr>
          <w:rStyle w:val="11"/>
          <w:rFonts w:hint="eastAsia" w:ascii="仿宋" w:hAnsi="仿宋" w:eastAsia="仿宋" w:cs="仿宋"/>
          <w:b w:val="0"/>
          <w:color w:val="auto"/>
          <w:sz w:val="32"/>
          <w:szCs w:val="24"/>
          <w:lang w:val="en-US" w:eastAsia="zh-CN"/>
        </w:rPr>
      </w:pPr>
      <w:r>
        <w:rPr>
          <w:rStyle w:val="11"/>
          <w:rFonts w:hint="eastAsia" w:ascii="仿宋" w:hAnsi="仿宋" w:eastAsia="仿宋" w:cs="仿宋"/>
          <w:b/>
          <w:bCs/>
          <w:color w:val="auto"/>
          <w:sz w:val="32"/>
          <w:szCs w:val="24"/>
          <w:lang w:val="en-US" w:eastAsia="zh-CN"/>
        </w:rPr>
        <w:t>4</w:t>
      </w:r>
      <w:r>
        <w:rPr>
          <w:rStyle w:val="11"/>
          <w:rFonts w:hint="eastAsia" w:ascii="仿宋" w:hAnsi="仿宋" w:eastAsia="仿宋" w:cs="仿宋"/>
          <w:b w:val="0"/>
          <w:color w:val="auto"/>
          <w:sz w:val="32"/>
          <w:szCs w:val="24"/>
          <w:lang w:val="en-US" w:eastAsia="zh-CN"/>
        </w:rPr>
        <w:t>.</w:t>
      </w:r>
      <w:r>
        <w:rPr>
          <w:rFonts w:hint="eastAsia" w:ascii="仿宋" w:hAnsi="仿宋" w:eastAsia="仿宋" w:cs="仿宋"/>
          <w:b/>
          <w:sz w:val="32"/>
          <w:szCs w:val="32"/>
          <w:lang w:val="en-US" w:eastAsia="zh-CN"/>
        </w:rPr>
        <w:t>社会保障和就业支出（类）</w:t>
      </w:r>
      <w:r>
        <w:rPr>
          <w:rStyle w:val="11"/>
          <w:rFonts w:hint="eastAsia" w:ascii="仿宋" w:hAnsi="仿宋" w:eastAsia="仿宋" w:cs="仿宋"/>
          <w:b/>
          <w:bCs/>
          <w:color w:val="auto"/>
          <w:sz w:val="32"/>
          <w:szCs w:val="24"/>
          <w:lang w:val="en-US" w:eastAsia="zh-CN"/>
        </w:rPr>
        <w:t>其他</w:t>
      </w:r>
      <w:r>
        <w:rPr>
          <w:rFonts w:hint="eastAsia" w:ascii="仿宋" w:hAnsi="仿宋" w:eastAsia="仿宋" w:cs="仿宋"/>
          <w:b/>
          <w:sz w:val="32"/>
          <w:szCs w:val="32"/>
          <w:lang w:val="en-US" w:eastAsia="zh-CN"/>
        </w:rPr>
        <w:t>社会保障和就业支出（款）</w:t>
      </w:r>
      <w:r>
        <w:rPr>
          <w:rStyle w:val="11"/>
          <w:rFonts w:hint="eastAsia" w:ascii="仿宋" w:hAnsi="仿宋" w:eastAsia="仿宋" w:cs="仿宋"/>
          <w:b/>
          <w:bCs/>
          <w:color w:val="auto"/>
          <w:sz w:val="32"/>
          <w:szCs w:val="24"/>
          <w:lang w:val="en-US" w:eastAsia="zh-CN"/>
        </w:rPr>
        <w:t>其他</w:t>
      </w:r>
      <w:r>
        <w:rPr>
          <w:rFonts w:hint="eastAsia" w:ascii="仿宋" w:hAnsi="仿宋" w:eastAsia="仿宋" w:cs="仿宋"/>
          <w:b/>
          <w:sz w:val="32"/>
          <w:szCs w:val="32"/>
          <w:lang w:val="en-US" w:eastAsia="zh-CN"/>
        </w:rPr>
        <w:t>社会保障和就业支出（项）：</w:t>
      </w:r>
      <w:r>
        <w:rPr>
          <w:rStyle w:val="11"/>
          <w:rFonts w:hint="eastAsia" w:ascii="仿宋" w:hAnsi="仿宋" w:eastAsia="仿宋" w:cs="仿宋"/>
          <w:b w:val="0"/>
          <w:color w:val="auto"/>
          <w:sz w:val="32"/>
          <w:szCs w:val="24"/>
        </w:rPr>
        <w:t>支出决算为</w:t>
      </w:r>
      <w:r>
        <w:rPr>
          <w:rStyle w:val="11"/>
          <w:rFonts w:hint="eastAsia" w:ascii="仿宋" w:hAnsi="仿宋" w:eastAsia="仿宋" w:cs="仿宋"/>
          <w:b w:val="0"/>
          <w:color w:val="auto"/>
          <w:sz w:val="32"/>
          <w:szCs w:val="24"/>
          <w:lang w:val="en-US" w:eastAsia="zh-CN"/>
        </w:rPr>
        <w:t>37.5</w:t>
      </w:r>
      <w:r>
        <w:rPr>
          <w:rStyle w:val="11"/>
          <w:rFonts w:hint="eastAsia" w:ascii="仿宋" w:hAnsi="仿宋" w:eastAsia="仿宋" w:cs="仿宋"/>
          <w:b w:val="0"/>
          <w:color w:val="auto"/>
          <w:sz w:val="32"/>
          <w:szCs w:val="24"/>
        </w:rPr>
        <w:t>万元，完成预算</w:t>
      </w:r>
      <w:r>
        <w:rPr>
          <w:rStyle w:val="11"/>
          <w:rFonts w:hint="eastAsia" w:ascii="仿宋" w:hAnsi="仿宋" w:eastAsia="仿宋" w:cs="仿宋"/>
          <w:b w:val="0"/>
          <w:color w:val="auto"/>
          <w:sz w:val="32"/>
          <w:szCs w:val="24"/>
          <w:lang w:val="en-US" w:eastAsia="zh-CN"/>
        </w:rPr>
        <w:t>100</w:t>
      </w:r>
      <w:r>
        <w:rPr>
          <w:rStyle w:val="11"/>
          <w:rFonts w:hint="eastAsia" w:ascii="仿宋" w:hAnsi="仿宋" w:eastAsia="仿宋" w:cs="仿宋"/>
          <w:b w:val="0"/>
          <w:color w:val="auto"/>
          <w:sz w:val="32"/>
          <w:szCs w:val="24"/>
        </w:rPr>
        <w:t>%。</w:t>
      </w:r>
    </w:p>
    <w:p>
      <w:pPr>
        <w:keepNext w:val="0"/>
        <w:keepLines w:val="0"/>
        <w:pageBreakBefore w:val="0"/>
        <w:widowControl w:val="0"/>
        <w:kinsoku/>
        <w:wordWrap/>
        <w:overflowPunct/>
        <w:topLinePunct w:val="0"/>
        <w:autoSpaceDE/>
        <w:autoSpaceDN/>
        <w:bidi w:val="0"/>
        <w:spacing w:beforeLines="0" w:afterLines="0" w:line="560" w:lineRule="exact"/>
        <w:ind w:firstLine="643" w:firstLineChars="200"/>
        <w:textAlignment w:val="auto"/>
        <w:rPr>
          <w:rFonts w:hint="eastAsia" w:ascii="仿宋" w:hAnsi="仿宋" w:eastAsia="仿宋" w:cs="仿宋"/>
          <w:b/>
          <w:color w:val="auto"/>
          <w:sz w:val="32"/>
          <w:szCs w:val="24"/>
        </w:rPr>
      </w:pPr>
      <w:r>
        <w:rPr>
          <w:rStyle w:val="11"/>
          <w:rFonts w:hint="eastAsia" w:ascii="仿宋" w:hAnsi="仿宋" w:eastAsia="仿宋" w:cs="仿宋"/>
          <w:color w:val="auto"/>
          <w:sz w:val="32"/>
          <w:szCs w:val="24"/>
          <w:lang w:val="en-US" w:eastAsia="zh-CN"/>
        </w:rPr>
        <w:t>5.</w:t>
      </w:r>
      <w:r>
        <w:rPr>
          <w:rFonts w:hint="eastAsia" w:ascii="仿宋" w:hAnsi="仿宋" w:eastAsia="仿宋" w:cs="仿宋"/>
          <w:b/>
          <w:color w:val="auto"/>
          <w:sz w:val="32"/>
          <w:szCs w:val="24"/>
        </w:rPr>
        <w:t>卫生健康</w:t>
      </w:r>
      <w:r>
        <w:rPr>
          <w:rFonts w:hint="eastAsia" w:ascii="仿宋" w:hAnsi="仿宋" w:eastAsia="仿宋" w:cs="仿宋"/>
          <w:b/>
          <w:sz w:val="32"/>
          <w:szCs w:val="32"/>
          <w:lang w:val="en-US" w:eastAsia="zh-CN"/>
        </w:rPr>
        <w:t>支出</w:t>
      </w:r>
      <w:r>
        <w:rPr>
          <w:rStyle w:val="11"/>
          <w:rFonts w:hint="eastAsia" w:ascii="仿宋" w:hAnsi="仿宋" w:eastAsia="仿宋" w:cs="仿宋"/>
          <w:color w:val="auto"/>
          <w:sz w:val="32"/>
          <w:szCs w:val="24"/>
        </w:rPr>
        <w:t>（类）</w:t>
      </w:r>
      <w:r>
        <w:rPr>
          <w:rStyle w:val="11"/>
          <w:rFonts w:hint="eastAsia" w:ascii="仿宋" w:hAnsi="仿宋" w:eastAsia="仿宋" w:cs="仿宋"/>
          <w:color w:val="auto"/>
          <w:sz w:val="32"/>
          <w:szCs w:val="24"/>
          <w:lang w:val="en-US" w:eastAsia="zh-CN"/>
        </w:rPr>
        <w:t>行政事业单位医疗</w:t>
      </w:r>
      <w:r>
        <w:rPr>
          <w:rStyle w:val="11"/>
          <w:rFonts w:hint="eastAsia" w:ascii="仿宋" w:hAnsi="仿宋" w:eastAsia="仿宋" w:cs="仿宋"/>
          <w:color w:val="auto"/>
          <w:sz w:val="32"/>
          <w:szCs w:val="24"/>
        </w:rPr>
        <w:t>（款）</w:t>
      </w:r>
      <w:r>
        <w:rPr>
          <w:rStyle w:val="11"/>
          <w:rFonts w:hint="eastAsia" w:ascii="仿宋" w:hAnsi="仿宋" w:eastAsia="仿宋" w:cs="仿宋"/>
          <w:color w:val="auto"/>
          <w:sz w:val="32"/>
          <w:szCs w:val="24"/>
          <w:lang w:val="en-US" w:eastAsia="zh-CN"/>
        </w:rPr>
        <w:t>事业单位医疗</w:t>
      </w:r>
      <w:r>
        <w:rPr>
          <w:rStyle w:val="11"/>
          <w:rFonts w:hint="eastAsia" w:ascii="仿宋" w:hAnsi="仿宋" w:eastAsia="仿宋" w:cs="仿宋"/>
          <w:color w:val="auto"/>
          <w:sz w:val="32"/>
          <w:szCs w:val="24"/>
        </w:rPr>
        <w:t>（项）</w:t>
      </w:r>
      <w:r>
        <w:rPr>
          <w:rStyle w:val="11"/>
          <w:rFonts w:hint="eastAsia" w:ascii="仿宋" w:hAnsi="仿宋" w:eastAsia="仿宋" w:cs="仿宋"/>
          <w:color w:val="auto"/>
          <w:sz w:val="32"/>
          <w:szCs w:val="24"/>
          <w:lang w:eastAsia="zh-CN"/>
        </w:rPr>
        <w:t>：</w:t>
      </w:r>
      <w:r>
        <w:rPr>
          <w:rStyle w:val="11"/>
          <w:rFonts w:hint="eastAsia" w:ascii="仿宋" w:hAnsi="仿宋" w:eastAsia="仿宋" w:cs="仿宋"/>
          <w:b w:val="0"/>
          <w:color w:val="auto"/>
          <w:sz w:val="32"/>
          <w:szCs w:val="24"/>
        </w:rPr>
        <w:t>支出决算为</w:t>
      </w:r>
      <w:r>
        <w:rPr>
          <w:rStyle w:val="11"/>
          <w:rFonts w:hint="eastAsia" w:ascii="仿宋" w:hAnsi="仿宋" w:eastAsia="仿宋" w:cs="仿宋"/>
          <w:b w:val="0"/>
          <w:color w:val="auto"/>
          <w:sz w:val="32"/>
          <w:szCs w:val="24"/>
          <w:lang w:val="en-US" w:eastAsia="zh-CN"/>
        </w:rPr>
        <w:t>5.37</w:t>
      </w:r>
      <w:r>
        <w:rPr>
          <w:rStyle w:val="11"/>
          <w:rFonts w:hint="eastAsia" w:ascii="仿宋" w:hAnsi="仿宋" w:eastAsia="仿宋" w:cs="仿宋"/>
          <w:b w:val="0"/>
          <w:color w:val="auto"/>
          <w:sz w:val="32"/>
          <w:szCs w:val="24"/>
        </w:rPr>
        <w:t>万元，完成预算</w:t>
      </w:r>
      <w:r>
        <w:rPr>
          <w:rStyle w:val="11"/>
          <w:rFonts w:hint="eastAsia" w:ascii="仿宋" w:hAnsi="仿宋" w:eastAsia="仿宋" w:cs="仿宋"/>
          <w:b w:val="0"/>
          <w:color w:val="auto"/>
          <w:sz w:val="32"/>
          <w:szCs w:val="24"/>
          <w:lang w:val="en-US" w:eastAsia="zh-CN"/>
        </w:rPr>
        <w:t>100</w:t>
      </w:r>
      <w:r>
        <w:rPr>
          <w:rStyle w:val="11"/>
          <w:rFonts w:hint="eastAsia" w:ascii="仿宋" w:hAnsi="仿宋" w:eastAsia="仿宋" w:cs="仿宋"/>
          <w:b w:val="0"/>
          <w:color w:val="auto"/>
          <w:sz w:val="32"/>
          <w:szCs w:val="24"/>
        </w:rPr>
        <w:t>%。</w:t>
      </w:r>
    </w:p>
    <w:p>
      <w:pPr>
        <w:keepNext w:val="0"/>
        <w:keepLines w:val="0"/>
        <w:pageBreakBefore w:val="0"/>
        <w:widowControl w:val="0"/>
        <w:tabs>
          <w:tab w:val="right" w:pos="8306"/>
        </w:tabs>
        <w:kinsoku/>
        <w:wordWrap/>
        <w:overflowPunct/>
        <w:topLinePunct w:val="0"/>
        <w:autoSpaceDE/>
        <w:autoSpaceDN/>
        <w:bidi w:val="0"/>
        <w:spacing w:beforeLines="0" w:afterLines="0" w:line="560" w:lineRule="exact"/>
        <w:ind w:firstLine="640"/>
        <w:textAlignment w:val="auto"/>
        <w:outlineLvl w:val="1"/>
        <w:rPr>
          <w:rStyle w:val="11"/>
          <w:rFonts w:hint="eastAsia" w:ascii="仿宋" w:hAnsi="仿宋" w:eastAsia="仿宋" w:cs="仿宋"/>
          <w:b w:val="0"/>
          <w:color w:val="auto"/>
          <w:sz w:val="32"/>
          <w:szCs w:val="24"/>
        </w:rPr>
      </w:pPr>
      <w:bookmarkStart w:id="12" w:name="_Toc1004"/>
      <w:bookmarkStart w:id="13" w:name="_Toc19505"/>
      <w:r>
        <w:rPr>
          <w:rFonts w:hint="eastAsia" w:ascii="仿宋" w:hAnsi="仿宋" w:eastAsia="仿宋" w:cs="仿宋"/>
          <w:b/>
          <w:color w:val="auto"/>
          <w:sz w:val="32"/>
          <w:szCs w:val="24"/>
          <w:lang w:val="en-US" w:eastAsia="zh-CN"/>
        </w:rPr>
        <w:t>6.</w:t>
      </w:r>
      <w:r>
        <w:rPr>
          <w:rFonts w:hint="eastAsia" w:ascii="仿宋" w:hAnsi="仿宋" w:eastAsia="仿宋" w:cs="仿宋"/>
          <w:b/>
          <w:color w:val="auto"/>
          <w:sz w:val="32"/>
          <w:szCs w:val="24"/>
        </w:rPr>
        <w:t>住房保障</w:t>
      </w:r>
      <w:r>
        <w:rPr>
          <w:rFonts w:hint="eastAsia" w:ascii="仿宋" w:hAnsi="仿宋" w:eastAsia="仿宋" w:cs="仿宋"/>
          <w:b/>
          <w:sz w:val="32"/>
          <w:szCs w:val="32"/>
          <w:lang w:val="en-US" w:eastAsia="zh-CN"/>
        </w:rPr>
        <w:t>支出</w:t>
      </w:r>
      <w:r>
        <w:rPr>
          <w:rStyle w:val="11"/>
          <w:rFonts w:hint="eastAsia" w:ascii="仿宋" w:hAnsi="仿宋" w:eastAsia="仿宋" w:cs="仿宋"/>
          <w:color w:val="auto"/>
          <w:sz w:val="32"/>
          <w:szCs w:val="24"/>
        </w:rPr>
        <w:t>（类）</w:t>
      </w:r>
      <w:r>
        <w:rPr>
          <w:rStyle w:val="11"/>
          <w:rFonts w:hint="eastAsia" w:ascii="仿宋" w:hAnsi="仿宋" w:eastAsia="仿宋" w:cs="仿宋"/>
          <w:color w:val="auto"/>
          <w:sz w:val="32"/>
          <w:szCs w:val="24"/>
          <w:lang w:val="en-US" w:eastAsia="zh-CN"/>
        </w:rPr>
        <w:t>住房改革</w:t>
      </w:r>
      <w:r>
        <w:rPr>
          <w:rFonts w:hint="eastAsia" w:ascii="仿宋" w:hAnsi="仿宋" w:eastAsia="仿宋" w:cs="仿宋"/>
          <w:b/>
          <w:sz w:val="32"/>
          <w:szCs w:val="32"/>
          <w:lang w:val="en-US" w:eastAsia="zh-CN"/>
        </w:rPr>
        <w:t>支出</w:t>
      </w:r>
      <w:r>
        <w:rPr>
          <w:rStyle w:val="11"/>
          <w:rFonts w:hint="eastAsia" w:ascii="仿宋" w:hAnsi="仿宋" w:eastAsia="仿宋" w:cs="仿宋"/>
          <w:color w:val="auto"/>
          <w:sz w:val="32"/>
          <w:szCs w:val="24"/>
        </w:rPr>
        <w:t>（款）</w:t>
      </w:r>
      <w:r>
        <w:rPr>
          <w:rStyle w:val="11"/>
          <w:rFonts w:hint="eastAsia" w:ascii="仿宋" w:hAnsi="仿宋" w:eastAsia="仿宋" w:cs="仿宋"/>
          <w:color w:val="auto"/>
          <w:sz w:val="32"/>
          <w:szCs w:val="24"/>
          <w:lang w:val="en-US" w:eastAsia="zh-CN"/>
        </w:rPr>
        <w:t>住房公积金</w:t>
      </w:r>
      <w:r>
        <w:rPr>
          <w:rStyle w:val="11"/>
          <w:rFonts w:hint="eastAsia" w:ascii="仿宋" w:hAnsi="仿宋" w:eastAsia="仿宋" w:cs="仿宋"/>
          <w:color w:val="auto"/>
          <w:sz w:val="32"/>
          <w:szCs w:val="24"/>
        </w:rPr>
        <w:t>（项）</w:t>
      </w:r>
      <w:r>
        <w:rPr>
          <w:rStyle w:val="11"/>
          <w:rFonts w:hint="eastAsia" w:ascii="仿宋" w:hAnsi="仿宋" w:eastAsia="仿宋" w:cs="仿宋"/>
          <w:color w:val="auto"/>
          <w:sz w:val="32"/>
          <w:szCs w:val="24"/>
          <w:lang w:eastAsia="zh-CN"/>
        </w:rPr>
        <w:t>：</w:t>
      </w:r>
      <w:r>
        <w:rPr>
          <w:rStyle w:val="11"/>
          <w:rFonts w:hint="eastAsia" w:ascii="仿宋" w:hAnsi="仿宋" w:eastAsia="仿宋" w:cs="仿宋"/>
          <w:b w:val="0"/>
          <w:color w:val="auto"/>
          <w:sz w:val="32"/>
          <w:szCs w:val="24"/>
        </w:rPr>
        <w:t>支出决算为</w:t>
      </w:r>
      <w:r>
        <w:rPr>
          <w:rStyle w:val="11"/>
          <w:rFonts w:hint="eastAsia" w:ascii="仿宋" w:hAnsi="仿宋" w:eastAsia="仿宋" w:cs="仿宋"/>
          <w:b w:val="0"/>
          <w:color w:val="auto"/>
          <w:sz w:val="32"/>
          <w:szCs w:val="24"/>
          <w:lang w:val="en-US" w:eastAsia="zh-CN"/>
        </w:rPr>
        <w:t>10.72</w:t>
      </w:r>
      <w:r>
        <w:rPr>
          <w:rStyle w:val="11"/>
          <w:rFonts w:hint="eastAsia" w:ascii="仿宋" w:hAnsi="仿宋" w:eastAsia="仿宋" w:cs="仿宋"/>
          <w:b w:val="0"/>
          <w:color w:val="auto"/>
          <w:sz w:val="32"/>
          <w:szCs w:val="24"/>
        </w:rPr>
        <w:t>万元，完成预算</w:t>
      </w:r>
      <w:r>
        <w:rPr>
          <w:rStyle w:val="11"/>
          <w:rFonts w:hint="eastAsia" w:ascii="仿宋" w:hAnsi="仿宋" w:eastAsia="仿宋" w:cs="仿宋"/>
          <w:b w:val="0"/>
          <w:color w:val="auto"/>
          <w:sz w:val="32"/>
          <w:szCs w:val="24"/>
          <w:lang w:val="en-US" w:eastAsia="zh-CN"/>
        </w:rPr>
        <w:t>100</w:t>
      </w:r>
      <w:r>
        <w:rPr>
          <w:rStyle w:val="11"/>
          <w:rFonts w:hint="eastAsia" w:ascii="仿宋" w:hAnsi="仿宋" w:eastAsia="仿宋" w:cs="仿宋"/>
          <w:b w:val="0"/>
          <w:color w:val="auto"/>
          <w:sz w:val="32"/>
          <w:szCs w:val="24"/>
        </w:rPr>
        <w:t>%。</w:t>
      </w:r>
      <w:bookmarkEnd w:id="12"/>
      <w:bookmarkEnd w:id="13"/>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300"/>
        <w:jc w:val="left"/>
        <w:textAlignment w:val="auto"/>
        <w:outlineLvl w:val="1"/>
        <w:rPr>
          <w:rFonts w:hint="eastAsia" w:ascii="黑体" w:hAnsi="黑体" w:eastAsia="黑体" w:cs="黑体"/>
          <w:color w:val="auto"/>
          <w:sz w:val="32"/>
          <w:szCs w:val="32"/>
          <w:highlight w:val="none"/>
        </w:rPr>
      </w:pPr>
      <w:bookmarkStart w:id="14" w:name="_Toc4901"/>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一般公共预算财政拨款基本支出决算情况说明</w:t>
      </w:r>
      <w:bookmarkEnd w:id="14"/>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一般公共预算财政拨款基本支出</w:t>
      </w:r>
      <w:r>
        <w:rPr>
          <w:rFonts w:hint="eastAsia" w:ascii="仿宋" w:hAnsi="仿宋" w:eastAsia="仿宋" w:cs="仿宋"/>
          <w:color w:val="auto"/>
          <w:sz w:val="32"/>
          <w:szCs w:val="32"/>
          <w:highlight w:val="none"/>
          <w:lang w:val="en-US" w:eastAsia="zh-CN"/>
        </w:rPr>
        <w:t>172.25</w:t>
      </w:r>
      <w:r>
        <w:rPr>
          <w:rFonts w:hint="eastAsia" w:ascii="仿宋" w:hAnsi="仿宋" w:eastAsia="仿宋" w:cs="仿宋"/>
          <w:color w:val="auto"/>
          <w:sz w:val="32"/>
          <w:szCs w:val="32"/>
          <w:highlight w:val="none"/>
        </w:rPr>
        <w:t>万元，其中：</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t>人员经费</w:t>
      </w:r>
      <w:r>
        <w:rPr>
          <w:rFonts w:hint="eastAsia" w:ascii="仿宋" w:hAnsi="仿宋" w:eastAsia="仿宋" w:cs="仿宋"/>
          <w:color w:val="auto"/>
          <w:sz w:val="32"/>
          <w:szCs w:val="32"/>
          <w:highlight w:val="none"/>
          <w:lang w:val="en-US" w:eastAsia="zh-CN"/>
        </w:rPr>
        <w:t>157.48</w:t>
      </w:r>
      <w:r>
        <w:rPr>
          <w:rFonts w:hint="eastAsia" w:ascii="仿宋" w:hAnsi="仿宋" w:eastAsia="仿宋" w:cs="仿宋"/>
          <w:color w:val="auto"/>
          <w:sz w:val="32"/>
          <w:szCs w:val="32"/>
          <w:highlight w:val="none"/>
        </w:rPr>
        <w:t>万元，主要包括：基本工资、津贴补贴、奖金、绩效工资、机关事业单位基本养老保险缴费、职业年金缴费、</w:t>
      </w:r>
      <w:r>
        <w:rPr>
          <w:rFonts w:hint="eastAsia" w:ascii="仿宋" w:hAnsi="仿宋" w:eastAsia="仿宋" w:cs="仿宋"/>
          <w:color w:val="auto"/>
          <w:sz w:val="32"/>
          <w:szCs w:val="32"/>
          <w:highlight w:val="none"/>
          <w:lang w:val="en-US" w:eastAsia="zh-CN"/>
        </w:rPr>
        <w:t>职工基本医疗保险缴费、其他社会保障缴费、</w:t>
      </w:r>
      <w:r>
        <w:rPr>
          <w:rFonts w:hint="eastAsia" w:ascii="仿宋" w:hAnsi="仿宋" w:eastAsia="仿宋" w:cs="仿宋"/>
          <w:color w:val="auto"/>
          <w:sz w:val="32"/>
          <w:szCs w:val="32"/>
          <w:highlight w:val="none"/>
        </w:rPr>
        <w:t>住房公积金、</w:t>
      </w:r>
      <w:r>
        <w:rPr>
          <w:rFonts w:hint="eastAsia" w:ascii="仿宋" w:hAnsi="仿宋" w:eastAsia="仿宋" w:cs="仿宋"/>
          <w:color w:val="auto"/>
          <w:sz w:val="32"/>
          <w:szCs w:val="32"/>
          <w:highlight w:val="none"/>
          <w:lang w:val="en-US" w:eastAsia="zh-CN"/>
        </w:rPr>
        <w:t>其他工资福利支出、生活补助、奖励金</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rPr>
        <w:br w:type="textWrapping"/>
      </w:r>
      <w:r>
        <w:rPr>
          <w:rFonts w:hint="eastAsia" w:ascii="仿宋" w:hAnsi="仿宋" w:eastAsia="仿宋" w:cs="仿宋"/>
          <w:color w:val="auto"/>
          <w:sz w:val="32"/>
          <w:szCs w:val="32"/>
          <w:highlight w:val="none"/>
        </w:rPr>
        <w:t>　　公用经费</w:t>
      </w:r>
      <w:r>
        <w:rPr>
          <w:rFonts w:hint="eastAsia" w:ascii="仿宋" w:hAnsi="仿宋" w:eastAsia="仿宋" w:cs="仿宋"/>
          <w:color w:val="auto"/>
          <w:sz w:val="32"/>
          <w:szCs w:val="32"/>
          <w:highlight w:val="none"/>
          <w:lang w:val="en-US" w:eastAsia="zh-CN"/>
        </w:rPr>
        <w:t>14.77</w:t>
      </w:r>
      <w:r>
        <w:rPr>
          <w:rFonts w:hint="eastAsia" w:ascii="仿宋" w:hAnsi="仿宋" w:eastAsia="仿宋" w:cs="仿宋"/>
          <w:color w:val="auto"/>
          <w:sz w:val="32"/>
          <w:szCs w:val="32"/>
          <w:highlight w:val="none"/>
        </w:rPr>
        <w:t>万元，主要包括：办公费、水费、邮电费、物业管理费、差旅费、维修（护）费、公务接待费、劳务费</w:t>
      </w:r>
      <w:r>
        <w:rPr>
          <w:rFonts w:hint="eastAsia" w:ascii="仿宋" w:hAnsi="仿宋" w:eastAsia="仿宋" w:cs="仿宋"/>
          <w:color w:val="auto"/>
          <w:sz w:val="32"/>
          <w:szCs w:val="32"/>
          <w:highlight w:val="none"/>
          <w:lang w:eastAsia="zh-CN"/>
        </w:rPr>
        <w:t>、工会经费、福利费、其他交通费用、</w:t>
      </w:r>
      <w:r>
        <w:rPr>
          <w:rFonts w:hint="eastAsia" w:ascii="仿宋" w:hAnsi="仿宋" w:eastAsia="仿宋" w:cs="仿宋"/>
          <w:color w:val="auto"/>
          <w:sz w:val="32"/>
          <w:szCs w:val="32"/>
          <w:highlight w:val="none"/>
        </w:rPr>
        <w:t>其他商品和服务支出。</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jc w:val="left"/>
        <w:textAlignment w:val="auto"/>
        <w:outlineLvl w:val="1"/>
        <w:rPr>
          <w:rFonts w:hint="eastAsia" w:ascii="黑体" w:hAnsi="黑体" w:eastAsia="黑体" w:cs="黑体"/>
          <w:color w:val="auto"/>
          <w:sz w:val="32"/>
          <w:szCs w:val="32"/>
          <w:highlight w:val="none"/>
        </w:rPr>
      </w:pPr>
      <w:bookmarkStart w:id="15" w:name="_Toc13712"/>
      <w:r>
        <w:rPr>
          <w:rFonts w:hint="eastAsia" w:ascii="黑体" w:hAnsi="黑体" w:eastAsia="黑体" w:cs="黑体"/>
          <w:color w:val="auto"/>
          <w:sz w:val="32"/>
          <w:szCs w:val="32"/>
          <w:highlight w:val="none"/>
        </w:rPr>
        <w:t>财政拨款</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三公”经费支出决算情况说明</w:t>
      </w:r>
      <w:bookmarkEnd w:id="15"/>
    </w:p>
    <w:p>
      <w:pPr>
        <w:keepNext w:val="0"/>
        <w:keepLines w:val="0"/>
        <w:pageBreakBefore w:val="0"/>
        <w:widowControl w:val="0"/>
        <w:kinsoku/>
        <w:wordWrap/>
        <w:overflowPunct/>
        <w:topLinePunct w:val="0"/>
        <w:autoSpaceDE/>
        <w:autoSpaceDN/>
        <w:bidi w:val="0"/>
        <w:spacing w:line="560" w:lineRule="exact"/>
        <w:ind w:firstLine="640"/>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“三公”经费财政拨款支出决算为</w:t>
      </w:r>
      <w:r>
        <w:rPr>
          <w:rFonts w:hint="eastAsia" w:ascii="仿宋" w:hAnsi="仿宋" w:eastAsia="仿宋" w:cs="仿宋"/>
          <w:color w:val="auto"/>
          <w:sz w:val="32"/>
          <w:szCs w:val="32"/>
          <w:highlight w:val="none"/>
          <w:lang w:val="en-US" w:eastAsia="zh-CN"/>
        </w:rPr>
        <w:t>0.15</w:t>
      </w:r>
      <w:r>
        <w:rPr>
          <w:rFonts w:hint="eastAsia" w:ascii="仿宋" w:hAnsi="仿宋" w:eastAsia="仿宋" w:cs="仿宋"/>
          <w:color w:val="auto"/>
          <w:sz w:val="32"/>
          <w:szCs w:val="32"/>
          <w:highlight w:val="none"/>
        </w:rPr>
        <w:t>万元，完成预算</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较上年度增加</w:t>
      </w:r>
      <w:r>
        <w:rPr>
          <w:rFonts w:hint="eastAsia" w:ascii="仿宋" w:hAnsi="仿宋" w:eastAsia="仿宋" w:cs="仿宋"/>
          <w:color w:val="auto"/>
          <w:sz w:val="32"/>
          <w:szCs w:val="32"/>
          <w:highlight w:val="none"/>
          <w:lang w:val="en-US" w:eastAsia="zh-CN"/>
        </w:rPr>
        <w:t>0.15万元，增长100%。</w:t>
      </w:r>
      <w:r>
        <w:rPr>
          <w:rFonts w:hint="eastAsia" w:ascii="仿宋" w:hAnsi="仿宋" w:eastAsia="仿宋" w:cs="仿宋"/>
          <w:color w:val="auto"/>
          <w:sz w:val="32"/>
          <w:szCs w:val="32"/>
          <w:highlight w:val="none"/>
        </w:rPr>
        <w:t>决算数与预算数持平。</w:t>
      </w:r>
    </w:p>
    <w:p>
      <w:pPr>
        <w:keepNext w:val="0"/>
        <w:keepLines w:val="0"/>
        <w:pageBreakBefore w:val="0"/>
        <w:widowControl w:val="0"/>
        <w:kinsoku/>
        <w:wordWrap/>
        <w:overflowPunct/>
        <w:topLinePunct w:val="0"/>
        <w:autoSpaceDE/>
        <w:autoSpaceDN/>
        <w:bidi w:val="0"/>
        <w:spacing w:line="560" w:lineRule="exact"/>
        <w:ind w:firstLine="640"/>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“三公”经费财政拨款支出决算中，因公出国（境）费支出决算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%；公务用车购置及运行维护费支出决算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%；公务接待费支出决算</w:t>
      </w:r>
      <w:r>
        <w:rPr>
          <w:rFonts w:hint="eastAsia" w:ascii="仿宋" w:hAnsi="仿宋" w:eastAsia="仿宋" w:cs="仿宋"/>
          <w:color w:val="auto"/>
          <w:sz w:val="32"/>
          <w:szCs w:val="32"/>
          <w:highlight w:val="none"/>
          <w:lang w:val="en-US" w:eastAsia="zh-CN"/>
        </w:rPr>
        <w:t>0.15</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%。具体情况如下：</w:t>
      </w:r>
    </w:p>
    <w:p>
      <w:pPr>
        <w:pStyle w:val="4"/>
        <w:rPr>
          <w:rFonts w:hint="eastAsia" w:ascii="仿宋_GB2312" w:hAnsi="仿宋_GB2312" w:eastAsia="仿宋_GB2312" w:cs="仿宋_GB2312"/>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4384" behindDoc="0" locked="0" layoutInCell="1" allowOverlap="1">
            <wp:simplePos x="0" y="0"/>
            <wp:positionH relativeFrom="column">
              <wp:posOffset>522605</wp:posOffset>
            </wp:positionH>
            <wp:positionV relativeFrom="paragraph">
              <wp:posOffset>118745</wp:posOffset>
            </wp:positionV>
            <wp:extent cx="4439920" cy="2499360"/>
            <wp:effectExtent l="4445" t="4445" r="5715" b="1079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4"/>
        <w:rPr>
          <w:rFonts w:hint="eastAsia" w:ascii="仿宋_GB2312" w:hAnsi="仿宋_GB2312" w:eastAsia="仿宋_GB2312" w:cs="仿宋_GB2312"/>
          <w:color w:val="auto"/>
          <w:sz w:val="32"/>
          <w:szCs w:val="32"/>
          <w:highlight w:val="none"/>
        </w:rPr>
      </w:pPr>
    </w:p>
    <w:p>
      <w:pPr>
        <w:pStyle w:val="4"/>
        <w:rPr>
          <w:rFonts w:hint="eastAsia"/>
        </w:rPr>
      </w:pPr>
    </w:p>
    <w:p>
      <w:pPr>
        <w:spacing w:line="600" w:lineRule="exact"/>
        <w:ind w:firstLine="640"/>
        <w:rPr>
          <w:rFonts w:hint="eastAsia" w:ascii="仿宋_GB2312" w:hAnsi="仿宋_GB2312" w:eastAsia="仿宋_GB2312" w:cs="仿宋_GB2312"/>
          <w:color w:val="auto"/>
          <w:sz w:val="32"/>
          <w:szCs w:val="32"/>
          <w:highlight w:val="none"/>
        </w:rPr>
      </w:pPr>
    </w:p>
    <w:p>
      <w:pPr>
        <w:spacing w:line="600" w:lineRule="exact"/>
        <w:ind w:firstLine="640"/>
        <w:rPr>
          <w:rFonts w:hint="eastAsia" w:ascii="仿宋_GB2312" w:hAnsi="仿宋_GB2312" w:eastAsia="仿宋_GB2312" w:cs="仿宋_GB2312"/>
          <w:color w:val="auto"/>
          <w:sz w:val="32"/>
          <w:szCs w:val="32"/>
          <w:highlight w:val="none"/>
        </w:rPr>
      </w:pPr>
    </w:p>
    <w:p>
      <w:pPr>
        <w:spacing w:line="600" w:lineRule="exact"/>
        <w:ind w:firstLine="640"/>
        <w:rPr>
          <w:rFonts w:hint="eastAsia" w:ascii="仿宋_GB2312" w:hAnsi="仿宋_GB2312" w:eastAsia="仿宋_GB2312" w:cs="仿宋_GB2312"/>
          <w:color w:val="auto"/>
          <w:sz w:val="32"/>
          <w:szCs w:val="32"/>
          <w:highlight w:val="none"/>
        </w:rPr>
      </w:pPr>
    </w:p>
    <w:p>
      <w:pPr>
        <w:spacing w:line="600" w:lineRule="exact"/>
        <w:ind w:firstLine="640"/>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bidi w:val="0"/>
        <w:spacing w:line="560" w:lineRule="exact"/>
        <w:ind w:firstLine="64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bCs w:val="0"/>
          <w:color w:val="auto"/>
          <w:sz w:val="32"/>
          <w:szCs w:val="32"/>
          <w:highlight w:val="none"/>
          <w:shd w:val="clear"/>
          <w:lang w:val="en-US" w:eastAsia="zh-CN"/>
        </w:rPr>
        <w:t>1.因公出国</w:t>
      </w:r>
      <w:r>
        <w:rPr>
          <w:rFonts w:hint="eastAsia" w:ascii="仿宋" w:hAnsi="仿宋" w:eastAsia="仿宋" w:cs="仿宋"/>
          <w:b/>
          <w:bCs w:val="0"/>
          <w:color w:val="auto"/>
          <w:sz w:val="32"/>
          <w:szCs w:val="32"/>
          <w:highlight w:val="none"/>
          <w:shd w:val="clear"/>
        </w:rPr>
        <w:t>（境）</w:t>
      </w:r>
      <w:r>
        <w:rPr>
          <w:rFonts w:hint="eastAsia" w:ascii="仿宋" w:hAnsi="仿宋" w:eastAsia="仿宋" w:cs="仿宋"/>
          <w:b/>
          <w:bCs w:val="0"/>
          <w:color w:val="auto"/>
          <w:sz w:val="32"/>
          <w:szCs w:val="32"/>
          <w:highlight w:val="none"/>
          <w:shd w:val="clear"/>
          <w:lang w:val="en-US" w:eastAsia="zh-CN"/>
        </w:rPr>
        <w:t>经费支出</w:t>
      </w:r>
      <w:r>
        <w:rPr>
          <w:rFonts w:hint="eastAsia" w:ascii="仿宋" w:hAnsi="仿宋" w:eastAsia="仿宋" w:cs="仿宋"/>
          <w:b w:val="0"/>
          <w:bCs/>
          <w:color w:val="auto"/>
          <w:sz w:val="32"/>
          <w:szCs w:val="32"/>
          <w:highlight w:val="none"/>
          <w:shd w:val="clear"/>
          <w:lang w:val="en-US" w:eastAsia="zh-CN"/>
        </w:rPr>
        <w:t>0万元，年初未安排预算</w:t>
      </w:r>
      <w:r>
        <w:rPr>
          <w:rStyle w:val="11"/>
          <w:rFonts w:hint="eastAsia" w:ascii="仿宋" w:hAnsi="仿宋" w:eastAsia="仿宋" w:cs="仿宋"/>
          <w:b w:val="0"/>
          <w:bCs/>
          <w:color w:val="auto"/>
          <w:sz w:val="32"/>
          <w:szCs w:val="32"/>
          <w:highlight w:val="none"/>
          <w:shd w:val="clear"/>
        </w:rPr>
        <w:t>。</w:t>
      </w:r>
      <w:r>
        <w:rPr>
          <w:rFonts w:hint="eastAsia" w:ascii="仿宋" w:hAnsi="仿宋" w:eastAsia="仿宋" w:cs="仿宋"/>
          <w:b w:val="0"/>
          <w:bCs/>
          <w:color w:val="auto"/>
          <w:sz w:val="32"/>
          <w:szCs w:val="32"/>
          <w:highlight w:val="none"/>
        </w:rPr>
        <w:t>全年安排因公出国（境）团组</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b w:val="0"/>
          <w:bCs/>
          <w:color w:val="auto"/>
          <w:sz w:val="32"/>
          <w:szCs w:val="32"/>
          <w:highlight w:val="none"/>
        </w:rPr>
        <w:t>次，出国（境）</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b w:val="0"/>
          <w:bCs/>
          <w:color w:val="auto"/>
          <w:sz w:val="32"/>
          <w:szCs w:val="32"/>
          <w:highlight w:val="none"/>
        </w:rPr>
        <w:t>人。</w:t>
      </w:r>
      <w:r>
        <w:rPr>
          <w:rFonts w:hint="eastAsia" w:ascii="仿宋" w:hAnsi="仿宋" w:eastAsia="仿宋" w:cs="仿宋"/>
          <w:b w:val="0"/>
          <w:bCs/>
          <w:color w:val="auto"/>
          <w:sz w:val="32"/>
          <w:szCs w:val="32"/>
          <w:highlight w:val="none"/>
          <w:lang w:val="en-US" w:eastAsia="zh-CN"/>
        </w:rPr>
        <w:t>因公出国</w:t>
      </w:r>
      <w:r>
        <w:rPr>
          <w:rFonts w:hint="eastAsia" w:ascii="仿宋" w:hAnsi="仿宋" w:eastAsia="仿宋" w:cs="仿宋"/>
          <w:b w:val="0"/>
          <w:bCs/>
          <w:color w:val="auto"/>
          <w:sz w:val="32"/>
          <w:szCs w:val="32"/>
          <w:highlight w:val="none"/>
        </w:rPr>
        <w:t>（境）</w:t>
      </w:r>
      <w:r>
        <w:rPr>
          <w:rFonts w:hint="eastAsia" w:ascii="仿宋" w:hAnsi="仿宋" w:eastAsia="仿宋" w:cs="仿宋"/>
          <w:b w:val="0"/>
          <w:bCs/>
          <w:color w:val="auto"/>
          <w:sz w:val="32"/>
          <w:szCs w:val="32"/>
          <w:highlight w:val="none"/>
          <w:lang w:val="en-US" w:eastAsia="zh-CN"/>
        </w:rPr>
        <w:t>支出决算较2022年无变化</w:t>
      </w:r>
      <w:r>
        <w:rPr>
          <w:rFonts w:hint="eastAsia" w:ascii="仿宋" w:hAnsi="仿宋" w:eastAsia="仿宋" w:cs="仿宋"/>
          <w:b w:val="0"/>
          <w:bCs/>
          <w:color w:val="auto"/>
          <w:sz w:val="32"/>
          <w:szCs w:val="32"/>
          <w:highlight w:val="none"/>
        </w:rPr>
        <w:t>。</w:t>
      </w:r>
    </w:p>
    <w:p>
      <w:pPr>
        <w:keepNext w:val="0"/>
        <w:keepLines w:val="0"/>
        <w:pageBreakBefore w:val="0"/>
        <w:widowControl w:val="0"/>
        <w:numPr>
          <w:ilvl w:val="0"/>
          <w:numId w:val="0"/>
        </w:numPr>
        <w:kinsoku/>
        <w:wordWrap/>
        <w:overflowPunct/>
        <w:topLinePunct w:val="0"/>
        <w:bidi w:val="0"/>
        <w:spacing w:beforeLines="0" w:afterLines="0" w:line="560" w:lineRule="exact"/>
        <w:ind w:firstLine="643"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bCs w:val="0"/>
          <w:color w:val="auto"/>
          <w:sz w:val="32"/>
          <w:szCs w:val="32"/>
          <w:highlight w:val="none"/>
        </w:rPr>
        <w:t>2.公务用车购置及运行维护费支出</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b w:val="0"/>
          <w:bCs/>
          <w:color w:val="auto"/>
          <w:sz w:val="32"/>
          <w:szCs w:val="32"/>
          <w:highlight w:val="none"/>
        </w:rPr>
        <w:t>万元</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shd w:val="clear"/>
          <w:lang w:val="en-US" w:eastAsia="zh-CN"/>
        </w:rPr>
        <w:t>年初未安排预算</w:t>
      </w:r>
      <w:r>
        <w:rPr>
          <w:rStyle w:val="11"/>
          <w:rFonts w:hint="eastAsia" w:ascii="仿宋" w:hAnsi="仿宋" w:eastAsia="仿宋" w:cs="仿宋"/>
          <w:b w:val="0"/>
          <w:bCs/>
          <w:color w:val="auto"/>
          <w:sz w:val="32"/>
          <w:szCs w:val="32"/>
          <w:highlight w:val="none"/>
          <w:shd w:val="clear"/>
        </w:rPr>
        <w:t>。</w:t>
      </w:r>
      <w:r>
        <w:rPr>
          <w:rFonts w:hint="eastAsia" w:ascii="仿宋" w:hAnsi="仿宋" w:eastAsia="仿宋" w:cs="仿宋"/>
          <w:color w:val="auto"/>
          <w:sz w:val="32"/>
          <w:szCs w:val="32"/>
        </w:rPr>
        <w:t>公务用车购置及运行维护费支出决算</w:t>
      </w:r>
      <w:r>
        <w:rPr>
          <w:rFonts w:hint="eastAsia" w:ascii="仿宋" w:hAnsi="仿宋" w:eastAsia="仿宋" w:cs="仿宋"/>
          <w:color w:val="auto"/>
          <w:sz w:val="32"/>
          <w:szCs w:val="32"/>
          <w:lang w:val="en-US" w:eastAsia="zh-CN"/>
        </w:rPr>
        <w:t>较2022年无变化</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其中：</w:t>
      </w:r>
      <w:r>
        <w:rPr>
          <w:rFonts w:hint="eastAsia" w:ascii="仿宋" w:hAnsi="仿宋" w:eastAsia="仿宋" w:cs="仿宋"/>
          <w:b/>
          <w:color w:val="auto"/>
          <w:sz w:val="32"/>
          <w:szCs w:val="32"/>
          <w:highlight w:val="none"/>
        </w:rPr>
        <w:t>公务用车购置支出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万元。全年按规定更新购置公务用车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。截至</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年12月</w:t>
      </w:r>
      <w:r>
        <w:rPr>
          <w:rFonts w:hint="eastAsia" w:ascii="仿宋" w:hAnsi="仿宋" w:eastAsia="仿宋" w:cs="仿宋"/>
          <w:color w:val="auto"/>
          <w:sz w:val="32"/>
          <w:szCs w:val="32"/>
          <w:highlight w:val="none"/>
          <w:lang w:val="en-US" w:eastAsia="zh-CN"/>
        </w:rPr>
        <w:t>31日</w:t>
      </w:r>
      <w:r>
        <w:rPr>
          <w:rFonts w:hint="eastAsia" w:ascii="仿宋" w:hAnsi="仿宋" w:eastAsia="仿宋" w:cs="仿宋"/>
          <w:color w:val="auto"/>
          <w:sz w:val="32"/>
          <w:szCs w:val="32"/>
          <w:highlight w:val="none"/>
        </w:rPr>
        <w:t>，单位共有公务用车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p>
    <w:p>
      <w:pPr>
        <w:keepNext w:val="0"/>
        <w:keepLines w:val="0"/>
        <w:pageBreakBefore w:val="0"/>
        <w:widowControl w:val="0"/>
        <w:kinsoku/>
        <w:wordWrap/>
        <w:overflowPunct/>
        <w:topLinePunct w:val="0"/>
        <w:bidi w:val="0"/>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公务用车运行维护费支出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pageBreakBefore w:val="0"/>
        <w:widowControl w:val="0"/>
        <w:kinsoku/>
        <w:wordWrap/>
        <w:overflowPunct/>
        <w:topLinePunct w:val="0"/>
        <w:bidi w:val="0"/>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3.公务接待费支出</w:t>
      </w:r>
      <w:r>
        <w:rPr>
          <w:rFonts w:hint="eastAsia" w:ascii="仿宋" w:hAnsi="仿宋" w:eastAsia="仿宋" w:cs="仿宋"/>
          <w:color w:val="auto"/>
          <w:sz w:val="32"/>
          <w:szCs w:val="32"/>
          <w:highlight w:val="none"/>
          <w:lang w:val="en-US" w:eastAsia="zh-CN"/>
        </w:rPr>
        <w:t>0.15</w:t>
      </w:r>
      <w:r>
        <w:rPr>
          <w:rFonts w:hint="eastAsia" w:ascii="仿宋" w:hAnsi="仿宋" w:eastAsia="仿宋" w:cs="仿宋"/>
          <w:color w:val="auto"/>
          <w:sz w:val="32"/>
          <w:szCs w:val="32"/>
          <w:highlight w:val="none"/>
        </w:rPr>
        <w:t>万元，</w:t>
      </w:r>
      <w:r>
        <w:rPr>
          <w:rStyle w:val="11"/>
          <w:rFonts w:hint="eastAsia" w:ascii="仿宋" w:hAnsi="仿宋" w:eastAsia="仿宋" w:cs="仿宋"/>
          <w:b w:val="0"/>
          <w:bCs/>
          <w:color w:val="auto"/>
          <w:sz w:val="32"/>
          <w:szCs w:val="32"/>
          <w:highlight w:val="none"/>
        </w:rPr>
        <w:t>完成预算</w:t>
      </w:r>
      <w:r>
        <w:rPr>
          <w:rStyle w:val="11"/>
          <w:rFonts w:hint="eastAsia" w:ascii="仿宋" w:hAnsi="仿宋" w:eastAsia="仿宋" w:cs="仿宋"/>
          <w:b w:val="0"/>
          <w:bCs/>
          <w:color w:val="auto"/>
          <w:sz w:val="32"/>
          <w:szCs w:val="32"/>
          <w:highlight w:val="none"/>
          <w:lang w:val="en-US" w:eastAsia="zh-CN"/>
        </w:rPr>
        <w:t>100</w:t>
      </w:r>
      <w:r>
        <w:rPr>
          <w:rStyle w:val="11"/>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公务接待费支出决算比</w:t>
      </w:r>
      <w:r>
        <w:rPr>
          <w:rFonts w:hint="eastAsia" w:ascii="仿宋" w:hAnsi="仿宋" w:eastAsia="仿宋" w:cs="仿宋"/>
          <w:color w:val="auto"/>
          <w:sz w:val="32"/>
          <w:szCs w:val="32"/>
          <w:highlight w:val="none"/>
          <w:lang w:eastAsia="zh-CN"/>
        </w:rPr>
        <w:t>2022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增加</w:t>
      </w:r>
      <w:r>
        <w:rPr>
          <w:rFonts w:hint="eastAsia" w:ascii="仿宋" w:hAnsi="仿宋" w:eastAsia="仿宋" w:cs="仿宋"/>
          <w:color w:val="auto"/>
          <w:sz w:val="32"/>
          <w:szCs w:val="32"/>
          <w:highlight w:val="none"/>
          <w:lang w:val="en-US" w:eastAsia="zh-CN"/>
        </w:rPr>
        <w:t>0.15</w:t>
      </w:r>
      <w:r>
        <w:rPr>
          <w:rFonts w:hint="eastAsia" w:ascii="仿宋" w:hAnsi="仿宋" w:eastAsia="仿宋" w:cs="仿宋"/>
          <w:color w:val="auto"/>
          <w:sz w:val="32"/>
          <w:szCs w:val="32"/>
          <w:highlight w:val="none"/>
        </w:rPr>
        <w:t>万元，增长</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业务量增加</w:t>
      </w:r>
      <w:r>
        <w:rPr>
          <w:rFonts w:hint="eastAsia" w:ascii="仿宋" w:hAnsi="仿宋" w:eastAsia="仿宋" w:cs="仿宋"/>
          <w:color w:val="auto"/>
          <w:sz w:val="32"/>
          <w:szCs w:val="32"/>
          <w:highlight w:val="none"/>
        </w:rPr>
        <w:t>。其中：</w:t>
      </w:r>
    </w:p>
    <w:p>
      <w:pPr>
        <w:keepNext w:val="0"/>
        <w:keepLines w:val="0"/>
        <w:pageBreakBefore w:val="0"/>
        <w:widowControl w:val="0"/>
        <w:kinsoku/>
        <w:wordWrap/>
        <w:overflowPunct/>
        <w:topLinePunct w:val="0"/>
        <w:bidi w:val="0"/>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国内公务接待支出</w:t>
      </w:r>
      <w:r>
        <w:rPr>
          <w:rFonts w:hint="eastAsia" w:ascii="仿宋" w:hAnsi="仿宋" w:eastAsia="仿宋" w:cs="仿宋"/>
          <w:color w:val="auto"/>
          <w:sz w:val="32"/>
          <w:szCs w:val="32"/>
          <w:highlight w:val="none"/>
          <w:lang w:val="en-US" w:eastAsia="zh-CN"/>
        </w:rPr>
        <w:t>0.15</w:t>
      </w:r>
      <w:r>
        <w:rPr>
          <w:rFonts w:hint="eastAsia" w:ascii="仿宋" w:hAnsi="仿宋" w:eastAsia="仿宋" w:cs="仿宋"/>
          <w:color w:val="auto"/>
          <w:sz w:val="32"/>
          <w:szCs w:val="32"/>
          <w:highlight w:val="none"/>
        </w:rPr>
        <w:t>万元，主要用于开展业务活动开支的用餐费。国内公务接待</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人次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共计支出</w:t>
      </w:r>
      <w:r>
        <w:rPr>
          <w:rFonts w:hint="eastAsia" w:ascii="仿宋" w:hAnsi="仿宋" w:eastAsia="仿宋" w:cs="仿宋"/>
          <w:color w:val="auto"/>
          <w:sz w:val="32"/>
          <w:szCs w:val="32"/>
          <w:highlight w:val="none"/>
          <w:lang w:val="en-US" w:eastAsia="zh-CN"/>
        </w:rPr>
        <w:t>0.15</w:t>
      </w:r>
      <w:r>
        <w:rPr>
          <w:rFonts w:hint="eastAsia" w:ascii="仿宋" w:hAnsi="仿宋" w:eastAsia="仿宋" w:cs="仿宋"/>
          <w:color w:val="auto"/>
          <w:sz w:val="32"/>
          <w:szCs w:val="32"/>
          <w:highlight w:val="none"/>
        </w:rPr>
        <w:t>万元，具体内容包括：</w:t>
      </w:r>
      <w:r>
        <w:rPr>
          <w:rFonts w:hint="eastAsia" w:ascii="仿宋" w:hAnsi="仿宋" w:eastAsia="仿宋" w:cs="仿宋"/>
          <w:color w:val="auto"/>
          <w:sz w:val="32"/>
          <w:szCs w:val="32"/>
          <w:highlight w:val="none"/>
          <w:lang w:val="en-US" w:eastAsia="zh-CN"/>
        </w:rPr>
        <w:t>接待汉中市等老年大学参加秦巴教育联席会艺术节，餐饮费0.15万元</w:t>
      </w:r>
      <w:r>
        <w:rPr>
          <w:rFonts w:hint="eastAsia" w:ascii="仿宋" w:hAnsi="仿宋" w:eastAsia="仿宋" w:cs="仿宋"/>
          <w:color w:val="auto"/>
          <w:sz w:val="32"/>
          <w:szCs w:val="32"/>
          <w:highlight w:val="none"/>
        </w:rPr>
        <w:t>。</w:t>
      </w:r>
    </w:p>
    <w:p>
      <w:pPr>
        <w:keepNext w:val="0"/>
        <w:keepLines w:val="0"/>
        <w:pageBreakBefore w:val="0"/>
        <w:widowControl w:val="0"/>
        <w:numPr>
          <w:ilvl w:val="0"/>
          <w:numId w:val="0"/>
        </w:numPr>
        <w:kinsoku/>
        <w:wordWrap/>
        <w:overflowPunct/>
        <w:topLinePunct w:val="0"/>
        <w:bidi w:val="0"/>
        <w:spacing w:beforeLines="0" w:afterLines="0"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000000"/>
          <w:kern w:val="2"/>
          <w:sz w:val="32"/>
          <w:szCs w:val="32"/>
          <w:lang w:val="zh-CN"/>
        </w:rPr>
        <w:t>外事接待</w:t>
      </w:r>
      <w:r>
        <w:rPr>
          <w:rFonts w:hint="eastAsia" w:ascii="仿宋" w:hAnsi="仿宋" w:eastAsia="仿宋" w:cs="仿宋"/>
          <w:color w:val="000000"/>
          <w:kern w:val="2"/>
          <w:sz w:val="32"/>
          <w:szCs w:val="32"/>
          <w:lang w:val="zh-CN"/>
        </w:rPr>
        <w:t>支出0万元。外事接待0批次，0人，共计支出0万元。</w:t>
      </w:r>
    </w:p>
    <w:p>
      <w:pPr>
        <w:pStyle w:val="8"/>
        <w:keepNext w:val="0"/>
        <w:keepLines w:val="0"/>
        <w:pageBreakBefore w:val="0"/>
        <w:widowControl w:val="0"/>
        <w:numPr>
          <w:ilvl w:val="0"/>
          <w:numId w:val="0"/>
        </w:numPr>
        <w:kinsoku/>
        <w:wordWrap/>
        <w:overflowPunct/>
        <w:topLinePunct w:val="0"/>
        <w:bidi w:val="0"/>
        <w:adjustRightInd w:val="0"/>
        <w:snapToGrid w:val="0"/>
        <w:spacing w:line="560" w:lineRule="exact"/>
        <w:ind w:leftChars="200" w:firstLine="320" w:firstLineChars="100"/>
        <w:jc w:val="left"/>
        <w:textAlignment w:val="auto"/>
        <w:outlineLvl w:val="1"/>
        <w:rPr>
          <w:rFonts w:hint="eastAsia" w:ascii="黑体" w:hAnsi="黑体" w:eastAsia="黑体" w:cs="黑体"/>
          <w:color w:val="auto"/>
          <w:sz w:val="32"/>
          <w:szCs w:val="32"/>
          <w:highlight w:val="none"/>
        </w:rPr>
      </w:pPr>
      <w:bookmarkStart w:id="16" w:name="_Toc21883"/>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政府性基金预算支出决算情况说明</w:t>
      </w:r>
      <w:bookmarkEnd w:id="16"/>
    </w:p>
    <w:p>
      <w:pPr>
        <w:keepNext w:val="0"/>
        <w:keepLines w:val="0"/>
        <w:pageBreakBefore w:val="0"/>
        <w:widowControl w:val="0"/>
        <w:kinsoku/>
        <w:wordWrap/>
        <w:overflowPunct/>
        <w:topLinePunct w:val="0"/>
        <w:bidi w:val="0"/>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13"/>
          <w:rFonts w:ascii="黑体" w:hAnsi="黑体" w:eastAsia="黑体"/>
          <w:b w:val="0"/>
          <w:color w:val="auto"/>
          <w:highlight w:val="none"/>
        </w:rPr>
      </w:pPr>
      <w:bookmarkStart w:id="17" w:name="_Toc14826"/>
      <w:r>
        <w:rPr>
          <w:rStyle w:val="13"/>
          <w:rFonts w:hint="eastAsia" w:ascii="黑体" w:hAnsi="黑体" w:eastAsia="黑体"/>
          <w:b w:val="0"/>
          <w:color w:val="auto"/>
          <w:highlight w:val="none"/>
          <w:lang w:eastAsia="zh-CN"/>
        </w:rPr>
        <w:t>九、</w:t>
      </w:r>
      <w:r>
        <w:rPr>
          <w:rStyle w:val="13"/>
          <w:rFonts w:hint="eastAsia" w:ascii="黑体" w:hAnsi="黑体" w:eastAsia="黑体"/>
          <w:b w:val="0"/>
          <w:color w:val="auto"/>
          <w:highlight w:val="none"/>
        </w:rPr>
        <w:t>国有资本经营预算支出决算情况说明</w:t>
      </w:r>
      <w:bookmarkEnd w:id="17"/>
    </w:p>
    <w:p>
      <w:pPr>
        <w:keepNext w:val="0"/>
        <w:keepLines w:val="0"/>
        <w:pageBreakBefore w:val="0"/>
        <w:widowControl w:val="0"/>
        <w:kinsoku/>
        <w:wordWrap/>
        <w:overflowPunct/>
        <w:topLinePunct w:val="0"/>
        <w:bidi w:val="0"/>
        <w:spacing w:line="560" w:lineRule="exact"/>
        <w:ind w:firstLine="640"/>
        <w:textAlignment w:val="auto"/>
        <w:rPr>
          <w:rFonts w:hint="eastAsia" w:ascii="仿宋" w:hAnsi="仿宋" w:eastAsia="仿宋" w:cs="仿宋"/>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pStyle w:val="8"/>
        <w:keepNext w:val="0"/>
        <w:keepLines w:val="0"/>
        <w:pageBreakBefore w:val="0"/>
        <w:widowControl w:val="0"/>
        <w:numPr>
          <w:ilvl w:val="0"/>
          <w:numId w:val="0"/>
        </w:numPr>
        <w:kinsoku/>
        <w:wordWrap/>
        <w:overflowPunct/>
        <w:topLinePunct w:val="0"/>
        <w:bidi w:val="0"/>
        <w:adjustRightInd w:val="0"/>
        <w:snapToGrid w:val="0"/>
        <w:spacing w:line="560" w:lineRule="exact"/>
        <w:ind w:leftChars="200" w:firstLine="320" w:firstLineChars="100"/>
        <w:jc w:val="left"/>
        <w:textAlignment w:val="auto"/>
        <w:outlineLvl w:val="1"/>
        <w:rPr>
          <w:rFonts w:hint="eastAsia" w:ascii="黑体" w:hAnsi="黑体" w:eastAsia="黑体" w:cs="黑体"/>
          <w:color w:val="auto"/>
          <w:sz w:val="32"/>
          <w:szCs w:val="32"/>
          <w:highlight w:val="none"/>
        </w:rPr>
      </w:pPr>
      <w:bookmarkStart w:id="18" w:name="_Toc29436"/>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其他重要事项的情况说明</w:t>
      </w:r>
      <w:bookmarkEnd w:id="18"/>
    </w:p>
    <w:p>
      <w:pPr>
        <w:keepNext w:val="0"/>
        <w:keepLines w:val="0"/>
        <w:pageBreakBefore w:val="0"/>
        <w:widowControl w:val="0"/>
        <w:kinsoku/>
        <w:wordWrap/>
        <w:overflowPunct/>
        <w:topLinePunct w:val="0"/>
        <w:bidi w:val="0"/>
        <w:spacing w:line="560" w:lineRule="exact"/>
        <w:ind w:firstLine="643" w:firstLineChars="200"/>
        <w:textAlignment w:val="auto"/>
        <w:outlineLvl w:val="2"/>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（一）机关运行经费支出情况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2023年度，</w:t>
      </w:r>
      <w:r>
        <w:rPr>
          <w:rFonts w:hint="eastAsia" w:ascii="仿宋" w:hAnsi="仿宋" w:eastAsia="仿宋" w:cs="仿宋"/>
          <w:color w:val="auto"/>
          <w:kern w:val="2"/>
          <w:sz w:val="32"/>
          <w:szCs w:val="24"/>
          <w:lang w:val="zh-CN"/>
        </w:rPr>
        <w:t>广元市老年大学（广元市老年活动中心）</w:t>
      </w:r>
      <w:r>
        <w:rPr>
          <w:rFonts w:hint="eastAsia" w:ascii="仿宋" w:hAnsi="仿宋" w:eastAsia="仿宋" w:cs="仿宋"/>
          <w:b w:val="0"/>
          <w:bCs/>
          <w:i w:val="0"/>
          <w:iCs w:val="0"/>
          <w:caps w:val="0"/>
          <w:color w:val="000000"/>
          <w:spacing w:val="0"/>
          <w:sz w:val="32"/>
          <w:szCs w:val="32"/>
          <w:highlight w:val="none"/>
        </w:rPr>
        <w:t>未发生机关运行经费支出</w:t>
      </w:r>
      <w:r>
        <w:rPr>
          <w:rFonts w:hint="eastAsia" w:ascii="仿宋" w:hAnsi="仿宋" w:eastAsia="仿宋" w:cs="仿宋"/>
          <w:b w:val="0"/>
          <w:bCs/>
          <w:i w:val="0"/>
          <w:iCs w:val="0"/>
          <w:caps w:val="0"/>
          <w:color w:val="000000"/>
          <w:spacing w:val="0"/>
          <w:sz w:val="32"/>
          <w:szCs w:val="32"/>
          <w:highlight w:val="none"/>
          <w:lang w:eastAsia="zh-CN"/>
        </w:rPr>
        <w:t>，</w:t>
      </w:r>
      <w:r>
        <w:rPr>
          <w:rFonts w:hint="eastAsia" w:ascii="仿宋" w:hAnsi="仿宋" w:eastAsia="仿宋" w:cs="仿宋"/>
          <w:b w:val="0"/>
          <w:bCs/>
          <w:i w:val="0"/>
          <w:iCs w:val="0"/>
          <w:caps w:val="0"/>
          <w:color w:val="000000"/>
          <w:spacing w:val="0"/>
          <w:sz w:val="32"/>
          <w:szCs w:val="32"/>
          <w:highlight w:val="none"/>
          <w:lang w:val="en-US" w:eastAsia="zh-CN"/>
        </w:rPr>
        <w:t>与2022年决算数持平。</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（二）政府采购支出情况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度</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24"/>
          <w:lang w:val="zh-CN"/>
        </w:rPr>
        <w:t>广元市老年大学（广元市老年活动中心）</w:t>
      </w:r>
      <w:r>
        <w:rPr>
          <w:rFonts w:hint="eastAsia" w:ascii="仿宋" w:hAnsi="仿宋" w:eastAsia="仿宋" w:cs="仿宋"/>
          <w:color w:val="auto"/>
          <w:sz w:val="32"/>
          <w:szCs w:val="32"/>
          <w:highlight w:val="none"/>
        </w:rPr>
        <w:t>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万元、政府采购工程支出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万元。授予中小企业合同金额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%，其中：授予小微企业合同金额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（三）国有资产占有使用情况</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年12月31日，</w:t>
      </w:r>
      <w:r>
        <w:rPr>
          <w:rFonts w:hint="eastAsia" w:ascii="仿宋" w:hAnsi="仿宋" w:eastAsia="仿宋" w:cs="仿宋"/>
          <w:color w:val="auto"/>
          <w:kern w:val="2"/>
          <w:sz w:val="32"/>
          <w:szCs w:val="24"/>
          <w:lang w:val="zh-CN"/>
        </w:rPr>
        <w:t>广元市老年大学（广元市老年活动中心）</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辆，其中：主要领导干部用车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辆、应急保障用车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单价50万元以上通用设备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台（套），单价100万元以上专用设备</w:t>
      </w:r>
      <w:r>
        <w:rPr>
          <w:rFonts w:hint="eastAsia" w:ascii="仿宋" w:hAnsi="仿宋" w:eastAsia="仿宋" w:cs="仿宋"/>
          <w:color w:val="auto"/>
          <w:sz w:val="32"/>
          <w:szCs w:val="32"/>
          <w:highlight w:val="none"/>
          <w:lang w:eastAsia="zh-CN"/>
        </w:rPr>
        <w:t>（不含车辆）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（四）预算绩效管理情况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根据预算绩效管理要求，本单位在</w:t>
      </w:r>
      <w:r>
        <w:rPr>
          <w:rFonts w:hint="eastAsia" w:ascii="仿宋" w:hAnsi="仿宋" w:eastAsia="仿宋" w:cs="仿宋"/>
          <w:color w:val="auto"/>
          <w:sz w:val="32"/>
          <w:szCs w:val="32"/>
          <w:highlight w:val="none"/>
          <w:lang w:val="en-US" w:eastAsia="zh-CN"/>
        </w:rPr>
        <w:t>2023年度</w:t>
      </w:r>
      <w:r>
        <w:rPr>
          <w:rFonts w:hint="eastAsia" w:ascii="仿宋" w:hAnsi="仿宋" w:eastAsia="仿宋" w:cs="仿宋"/>
          <w:color w:val="auto"/>
          <w:sz w:val="32"/>
          <w:szCs w:val="32"/>
          <w:highlight w:val="none"/>
          <w:lang w:eastAsia="zh-CN"/>
        </w:rPr>
        <w:t>预算编制阶段，组织对</w:t>
      </w:r>
      <w:r>
        <w:rPr>
          <w:rFonts w:hint="eastAsia" w:ascii="仿宋" w:hAnsi="仿宋" w:eastAsia="仿宋" w:cs="仿宋"/>
          <w:color w:val="000000"/>
          <w:sz w:val="32"/>
          <w:szCs w:val="32"/>
          <w:lang w:val="en-US" w:eastAsia="zh-CN" w:bidi="ar"/>
        </w:rPr>
        <w:t>老年活动中心包干经费</w:t>
      </w:r>
      <w:r>
        <w:rPr>
          <w:rFonts w:hint="eastAsia" w:ascii="仿宋" w:hAnsi="仿宋" w:eastAsia="仿宋" w:cs="仿宋"/>
          <w:color w:val="auto"/>
          <w:sz w:val="32"/>
          <w:szCs w:val="32"/>
          <w:highlight w:val="none"/>
          <w:lang w:eastAsia="zh-CN"/>
        </w:rPr>
        <w:t>项目等</w:t>
      </w:r>
      <w:r>
        <w:rPr>
          <w:rFonts w:hint="eastAsia" w:ascii="仿宋" w:hAnsi="仿宋" w:eastAsia="仿宋" w:cs="仿宋"/>
          <w:color w:val="auto"/>
          <w:sz w:val="32"/>
          <w:szCs w:val="32"/>
          <w:highlight w:val="none"/>
          <w:lang w:val="en-US" w:eastAsia="zh-CN"/>
        </w:rPr>
        <w:t>14个项目</w:t>
      </w:r>
      <w:r>
        <w:rPr>
          <w:rFonts w:hint="eastAsia" w:ascii="仿宋" w:hAnsi="仿宋" w:eastAsia="仿宋" w:cs="仿宋"/>
          <w:color w:val="auto"/>
          <w:sz w:val="32"/>
          <w:szCs w:val="32"/>
          <w:highlight w:val="none"/>
          <w:lang w:eastAsia="zh-CN"/>
        </w:rPr>
        <w:t>开展了预算事前绩效评估，对</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lang w:eastAsia="zh-CN"/>
        </w:rPr>
        <w:t>个项目编制了绩效目标，预算执行过程中，选取</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lang w:eastAsia="zh-CN"/>
        </w:rPr>
        <w:t>个项目开展绩效监控，组织对</w:t>
      </w:r>
      <w:r>
        <w:rPr>
          <w:rFonts w:hint="eastAsia" w:ascii="仿宋" w:hAnsi="仿宋" w:eastAsia="仿宋" w:cs="仿宋"/>
          <w:color w:val="auto"/>
          <w:sz w:val="32"/>
          <w:szCs w:val="32"/>
          <w:highlight w:val="none"/>
          <w:lang w:val="en-US" w:eastAsia="zh-CN"/>
        </w:rPr>
        <w:t>14个项目开展绩效自评，绩效自评表详见第四部分附件。</w:t>
      </w:r>
    </w:p>
    <w:p>
      <w:pP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br w:type="page"/>
      </w:r>
    </w:p>
    <w:p>
      <w:pPr>
        <w:pStyle w:val="7"/>
        <w:keepNext w:val="0"/>
        <w:keepLines w:val="0"/>
        <w:pageBreakBefore w:val="0"/>
        <w:widowControl w:val="0"/>
        <w:numPr>
          <w:ilvl w:val="0"/>
          <w:numId w:val="0"/>
        </w:numPr>
        <w:kinsoku/>
        <w:wordWrap/>
        <w:overflowPunct/>
        <w:topLinePunct w:val="0"/>
        <w:bidi w:val="0"/>
        <w:adjustRightInd w:val="0"/>
        <w:snapToGrid w:val="0"/>
        <w:spacing w:before="0" w:line="560" w:lineRule="exact"/>
        <w:ind w:leftChars="0"/>
        <w:jc w:val="both"/>
        <w:textAlignment w:val="auto"/>
        <w:rPr>
          <w:rFonts w:hint="eastAsia" w:ascii="黑体" w:hAnsi="黑体" w:eastAsia="黑体" w:cs="黑体"/>
          <w:color w:val="auto"/>
          <w:sz w:val="44"/>
          <w:szCs w:val="44"/>
          <w:highlight w:val="none"/>
          <w:lang w:val="en-US" w:eastAsia="zh-CN"/>
        </w:rPr>
      </w:pPr>
    </w:p>
    <w:p>
      <w:pPr>
        <w:pStyle w:val="7"/>
        <w:keepNext w:val="0"/>
        <w:keepLines w:val="0"/>
        <w:pageBreakBefore w:val="0"/>
        <w:widowControl w:val="0"/>
        <w:numPr>
          <w:ilvl w:val="0"/>
          <w:numId w:val="0"/>
        </w:numPr>
        <w:kinsoku/>
        <w:wordWrap/>
        <w:overflowPunct/>
        <w:topLinePunct w:val="0"/>
        <w:bidi w:val="0"/>
        <w:adjustRightInd w:val="0"/>
        <w:snapToGrid w:val="0"/>
        <w:spacing w:before="0" w:line="560" w:lineRule="exact"/>
        <w:ind w:leftChars="0"/>
        <w:jc w:val="center"/>
        <w:textAlignment w:val="auto"/>
        <w:outlineLvl w:val="0"/>
        <w:rPr>
          <w:rFonts w:hint="eastAsia" w:ascii="黑体" w:hAnsi="黑体" w:eastAsia="黑体" w:cs="黑体"/>
          <w:color w:val="auto"/>
          <w:sz w:val="44"/>
          <w:szCs w:val="44"/>
          <w:highlight w:val="none"/>
        </w:rPr>
      </w:pPr>
      <w:bookmarkStart w:id="19" w:name="_Toc15316"/>
      <w:r>
        <w:rPr>
          <w:rFonts w:hint="eastAsia" w:ascii="黑体" w:hAnsi="黑体" w:eastAsia="黑体" w:cs="黑体"/>
          <w:color w:val="auto"/>
          <w:sz w:val="44"/>
          <w:szCs w:val="44"/>
          <w:highlight w:val="none"/>
          <w:lang w:val="en-US" w:eastAsia="zh-CN"/>
        </w:rPr>
        <w:t xml:space="preserve">第三部分 </w:t>
      </w:r>
      <w:r>
        <w:rPr>
          <w:rFonts w:hint="eastAsia" w:ascii="黑体" w:hAnsi="黑体" w:eastAsia="黑体" w:cs="黑体"/>
          <w:color w:val="auto"/>
          <w:sz w:val="44"/>
          <w:szCs w:val="44"/>
          <w:highlight w:val="none"/>
        </w:rPr>
        <w:t>名词解释</w:t>
      </w:r>
      <w:bookmarkEnd w:id="19"/>
    </w:p>
    <w:p>
      <w:pPr>
        <w:keepNext w:val="0"/>
        <w:keepLines w:val="0"/>
        <w:pageBreakBefore w:val="0"/>
        <w:widowControl w:val="0"/>
        <w:numPr>
          <w:ilvl w:val="0"/>
          <w:numId w:val="0"/>
        </w:numPr>
        <w:kinsoku/>
        <w:wordWrap/>
        <w:overflowPunct/>
        <w:topLinePunct w:val="0"/>
        <w:bidi w:val="0"/>
        <w:spacing w:line="560" w:lineRule="exact"/>
        <w:ind w:leftChars="0"/>
        <w:textAlignment w:val="auto"/>
        <w:rPr>
          <w:rFonts w:hint="eastAsia"/>
        </w:rPr>
      </w:pPr>
    </w:p>
    <w:p>
      <w:pPr>
        <w:ind w:firstLine="640" w:firstLineChars="200"/>
        <w:rPr>
          <w:rFonts w:hint="eastAsia" w:ascii="仿宋" w:hAnsi="仿宋" w:eastAsia="仿宋" w:cs="仿宋"/>
          <w:sz w:val="32"/>
          <w:szCs w:val="32"/>
        </w:rPr>
      </w:pPr>
      <w:bookmarkStart w:id="20" w:name="_Toc20365"/>
      <w:r>
        <w:rPr>
          <w:rFonts w:hint="eastAsia" w:ascii="仿宋" w:hAnsi="仿宋" w:eastAsia="仿宋" w:cs="仿宋"/>
          <w:sz w:val="32"/>
          <w:szCs w:val="32"/>
          <w:lang w:val="en-US" w:eastAsia="zh-CN"/>
        </w:rPr>
        <w:t>1.</w:t>
      </w:r>
      <w:r>
        <w:rPr>
          <w:rFonts w:hint="eastAsia" w:ascii="仿宋" w:hAnsi="仿宋" w:eastAsia="仿宋" w:cs="仿宋"/>
          <w:sz w:val="32"/>
          <w:szCs w:val="32"/>
        </w:rPr>
        <w:t>财政拨款收入：指单位从同级财政部门取得的财政预算资金。</w:t>
      </w:r>
      <w:bookmarkEnd w:id="20"/>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初结转和结余：指以前年度尚未完成、结转到本年按有关规定继续使用的资金。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社会保障和就业</w:t>
      </w:r>
      <w:r>
        <w:rPr>
          <w:rFonts w:hint="eastAsia" w:ascii="仿宋" w:hAnsi="仿宋" w:eastAsia="仿宋" w:cs="仿宋"/>
          <w:sz w:val="32"/>
          <w:szCs w:val="32"/>
          <w:lang w:val="en-US" w:eastAsia="zh-CN"/>
        </w:rPr>
        <w:t>支出（类）行政事业单位养老支出（款）机关事业单位基本养老保险缴费支出（项）</w:t>
      </w:r>
      <w:r>
        <w:rPr>
          <w:rFonts w:hint="eastAsia" w:ascii="仿宋" w:hAnsi="仿宋" w:eastAsia="仿宋" w:cs="仿宋"/>
          <w:sz w:val="32"/>
          <w:szCs w:val="32"/>
        </w:rPr>
        <w:t>：</w:t>
      </w:r>
      <w:r>
        <w:rPr>
          <w:rFonts w:hint="eastAsia" w:ascii="仿宋" w:hAnsi="仿宋" w:eastAsia="仿宋" w:cs="仿宋"/>
          <w:sz w:val="32"/>
          <w:szCs w:val="32"/>
          <w:lang w:val="en-US" w:eastAsia="zh-CN"/>
        </w:rPr>
        <w:t>指广元市老年大学用于实施养老保险制度由单位缴纳的基本养老保险费支出</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会保障和就业</w:t>
      </w:r>
      <w:r>
        <w:rPr>
          <w:rFonts w:hint="eastAsia" w:ascii="仿宋" w:hAnsi="仿宋" w:eastAsia="仿宋" w:cs="仿宋"/>
          <w:sz w:val="32"/>
          <w:szCs w:val="32"/>
          <w:lang w:val="en-US" w:eastAsia="zh-CN"/>
        </w:rPr>
        <w:t>支出（类）行政事业单位养老支出</w:t>
      </w:r>
      <w:r>
        <w:rPr>
          <w:rFonts w:hint="eastAsia" w:ascii="仿宋" w:hAnsi="仿宋" w:eastAsia="仿宋" w:cs="仿宋"/>
          <w:sz w:val="32"/>
          <w:szCs w:val="32"/>
        </w:rPr>
        <w:t>（款）</w:t>
      </w:r>
      <w:r>
        <w:rPr>
          <w:rFonts w:hint="eastAsia" w:ascii="仿宋" w:hAnsi="仿宋" w:eastAsia="仿宋" w:cs="仿宋"/>
          <w:sz w:val="32"/>
          <w:szCs w:val="32"/>
          <w:lang w:val="en-US" w:eastAsia="zh-CN"/>
        </w:rPr>
        <w:t>机关事业单位职业年金缴费支出</w:t>
      </w:r>
      <w:r>
        <w:rPr>
          <w:rFonts w:hint="eastAsia" w:ascii="仿宋" w:hAnsi="仿宋" w:eastAsia="仿宋" w:cs="仿宋"/>
          <w:sz w:val="32"/>
          <w:szCs w:val="32"/>
        </w:rPr>
        <w:t>（项）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指广元市老年大学用于</w:t>
      </w:r>
      <w:r>
        <w:rPr>
          <w:rFonts w:hint="eastAsia" w:ascii="仿宋" w:hAnsi="仿宋" w:eastAsia="仿宋" w:cs="仿宋"/>
          <w:sz w:val="32"/>
          <w:szCs w:val="32"/>
        </w:rPr>
        <w:t>实施养老保险制度由单位实际缴纳的职业年金支出。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5.会保障和就业支出（类）社会福利（款）老年福利（项）：指广元市老年大学用于人员经费、公用经费和项目支出。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6.社会保障和就业支出（类）其他社会保障和就业支出（款）其他社会保障和就业支出（项）：指广元市老年大学用于教学项目支出。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卫生健康</w:t>
      </w:r>
      <w:r>
        <w:rPr>
          <w:rFonts w:hint="eastAsia" w:ascii="仿宋" w:hAnsi="仿宋" w:eastAsia="仿宋" w:cs="仿宋"/>
          <w:sz w:val="32"/>
          <w:szCs w:val="32"/>
          <w:lang w:val="en-US" w:eastAsia="zh-CN"/>
        </w:rPr>
        <w:t>支出</w:t>
      </w:r>
      <w:r>
        <w:rPr>
          <w:rFonts w:hint="eastAsia" w:ascii="仿宋" w:hAnsi="仿宋" w:eastAsia="仿宋" w:cs="仿宋"/>
          <w:sz w:val="32"/>
          <w:szCs w:val="32"/>
        </w:rPr>
        <w:t>（类）</w:t>
      </w:r>
      <w:r>
        <w:rPr>
          <w:rFonts w:hint="eastAsia" w:ascii="仿宋" w:hAnsi="仿宋" w:eastAsia="仿宋" w:cs="仿宋"/>
          <w:sz w:val="32"/>
          <w:szCs w:val="32"/>
          <w:lang w:val="en-US" w:eastAsia="zh-CN"/>
        </w:rPr>
        <w:t>行政事业单位医疗</w:t>
      </w:r>
      <w:r>
        <w:rPr>
          <w:rFonts w:hint="eastAsia" w:ascii="仿宋" w:hAnsi="仿宋" w:eastAsia="仿宋" w:cs="仿宋"/>
          <w:sz w:val="32"/>
          <w:szCs w:val="32"/>
        </w:rPr>
        <w:t>（款）</w:t>
      </w:r>
      <w:r>
        <w:rPr>
          <w:rFonts w:hint="eastAsia" w:ascii="仿宋" w:hAnsi="仿宋" w:eastAsia="仿宋" w:cs="仿宋"/>
          <w:sz w:val="32"/>
          <w:szCs w:val="32"/>
          <w:lang w:val="en-US" w:eastAsia="zh-CN"/>
        </w:rPr>
        <w:t>事业单位医疗</w:t>
      </w:r>
      <w:r>
        <w:rPr>
          <w:rFonts w:hint="eastAsia" w:ascii="仿宋" w:hAnsi="仿宋" w:eastAsia="仿宋" w:cs="仿宋"/>
          <w:sz w:val="32"/>
          <w:szCs w:val="32"/>
        </w:rPr>
        <w:t>（项）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广元市老年大学用于事业单位基本医疗保险缴费。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住房保障</w:t>
      </w:r>
      <w:r>
        <w:rPr>
          <w:rFonts w:hint="eastAsia" w:ascii="仿宋" w:hAnsi="仿宋" w:eastAsia="仿宋" w:cs="仿宋"/>
          <w:sz w:val="32"/>
          <w:szCs w:val="32"/>
          <w:lang w:val="en-US" w:eastAsia="zh-CN"/>
        </w:rPr>
        <w:t>支出</w:t>
      </w:r>
      <w:r>
        <w:rPr>
          <w:rFonts w:hint="eastAsia" w:ascii="仿宋" w:hAnsi="仿宋" w:eastAsia="仿宋" w:cs="仿宋"/>
          <w:sz w:val="32"/>
          <w:szCs w:val="32"/>
        </w:rPr>
        <w:t>（类）</w:t>
      </w:r>
      <w:r>
        <w:rPr>
          <w:rFonts w:hint="eastAsia" w:ascii="仿宋" w:hAnsi="仿宋" w:eastAsia="仿宋" w:cs="仿宋"/>
          <w:sz w:val="32"/>
          <w:szCs w:val="32"/>
          <w:lang w:val="en-US" w:eastAsia="zh-CN"/>
        </w:rPr>
        <w:t>住房改革支出</w:t>
      </w:r>
      <w:r>
        <w:rPr>
          <w:rFonts w:hint="eastAsia" w:ascii="仿宋" w:hAnsi="仿宋" w:eastAsia="仿宋" w:cs="仿宋"/>
          <w:sz w:val="32"/>
          <w:szCs w:val="32"/>
        </w:rPr>
        <w:t>（款）</w:t>
      </w:r>
      <w:r>
        <w:rPr>
          <w:rFonts w:hint="eastAsia" w:ascii="仿宋" w:hAnsi="仿宋" w:eastAsia="仿宋" w:cs="仿宋"/>
          <w:sz w:val="32"/>
          <w:szCs w:val="32"/>
          <w:lang w:val="en-US" w:eastAsia="zh-CN"/>
        </w:rPr>
        <w:t>住房公积金</w:t>
      </w:r>
      <w:r>
        <w:rPr>
          <w:rFonts w:hint="eastAsia" w:ascii="仿宋" w:hAnsi="仿宋" w:eastAsia="仿宋" w:cs="仿宋"/>
          <w:sz w:val="32"/>
          <w:szCs w:val="32"/>
        </w:rPr>
        <w:t>（项）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指广元市老年大学用于按规定的工资基数以及规定比例为职工缴纳的住房公积金。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项目支出：指在基本支出之外为完成特定行政任务和事业发展目标所发生的支出。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br w:type="page"/>
      </w:r>
    </w:p>
    <w:p>
      <w:pPr>
        <w:pStyle w:val="7"/>
        <w:pageBreakBefore w:val="0"/>
        <w:numPr>
          <w:ilvl w:val="0"/>
          <w:numId w:val="0"/>
        </w:numPr>
        <w:kinsoku/>
        <w:wordWrap/>
        <w:overflowPunct/>
        <w:topLinePunct w:val="0"/>
        <w:bidi w:val="0"/>
        <w:adjustRightInd w:val="0"/>
        <w:snapToGrid w:val="0"/>
        <w:spacing w:before="0" w:line="560" w:lineRule="exact"/>
        <w:ind w:leftChars="0"/>
        <w:jc w:val="center"/>
        <w:textAlignment w:val="auto"/>
        <w:rPr>
          <w:rFonts w:hint="eastAsia" w:ascii="仿宋" w:hAnsi="仿宋" w:eastAsia="仿宋" w:cs="仿宋"/>
          <w:color w:val="auto"/>
          <w:sz w:val="44"/>
          <w:szCs w:val="44"/>
          <w:highlight w:val="none"/>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p>
    <w:p>
      <w:pPr>
        <w:pStyle w:val="7"/>
        <w:pageBreakBefore w:val="0"/>
        <w:numPr>
          <w:ilvl w:val="0"/>
          <w:numId w:val="0"/>
        </w:numPr>
        <w:kinsoku/>
        <w:wordWrap/>
        <w:overflowPunct/>
        <w:topLinePunct w:val="0"/>
        <w:bidi w:val="0"/>
        <w:adjustRightInd w:val="0"/>
        <w:snapToGrid w:val="0"/>
        <w:spacing w:before="0" w:line="560" w:lineRule="exact"/>
        <w:ind w:leftChars="0"/>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lang w:val="en-US" w:eastAsia="zh-CN"/>
        </w:rPr>
        <w:t xml:space="preserve">第四部分 </w:t>
      </w:r>
      <w:r>
        <w:rPr>
          <w:rFonts w:hint="eastAsia" w:ascii="黑体" w:hAnsi="黑体" w:eastAsia="黑体" w:cs="黑体"/>
          <w:color w:val="auto"/>
          <w:sz w:val="44"/>
          <w:szCs w:val="44"/>
          <w:highlight w:val="none"/>
        </w:rPr>
        <w:t>附件</w:t>
      </w:r>
    </w:p>
    <w:tbl>
      <w:tblPr>
        <w:tblStyle w:val="9"/>
        <w:tblpPr w:leftFromText="180" w:rightFromText="180" w:vertAnchor="text" w:horzAnchor="page" w:tblpXSpec="center" w:tblpY="610"/>
        <w:tblOverlap w:val="never"/>
        <w:tblW w:w="12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838"/>
        <w:gridCol w:w="1591"/>
        <w:gridCol w:w="2032"/>
        <w:gridCol w:w="469"/>
        <w:gridCol w:w="1503"/>
        <w:gridCol w:w="469"/>
        <w:gridCol w:w="981"/>
        <w:gridCol w:w="486"/>
        <w:gridCol w:w="410"/>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推动提高资金使用效力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66.87</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65.16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97.44%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68.87</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66.87</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65.16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97.44%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项目负责人：何若菡</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51000021R000000019956-离退休费支出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推动提高资金使用效力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项目负责人：何若菡</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51000021R000000019958-其他支出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推动提高资金使用效力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项目负责人：何若菡</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推动提高资金使用效力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项目负责人：何若菡</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推动提高资金使用效力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73.78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68.15</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68.15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73.78</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68.15</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68.15</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项目负责人：何若菡</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51080022R000006910914-退休“中人”一次性退休补贴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推动提高资金使用效力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2.09</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项目负责人：何若菡</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51080022T000004941377-老年活动中心包干经费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开展活动中心正常管理工作，为老年学员提安定的教学环境及服务，最大化发挥老年活动中心为老年人服务的宗旨。</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为老年学员提安定的教学环境及服务，最大化发挥老年活动中心为老年人服务的宗旨。通过新建、改造和整合等途径，增加老年活动设施和场所，支持各类公共场所为老年人开展文化活动提供便利。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资金使用安全、规范、效果显著。资金支付范围全用于长期编外聘用人员工资、保险及维修、装修水电、绿化费用等。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聘用人员2人</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房屋修缮、物业管理费等</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推动老年教育发展</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老年学员满意度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聘用人员工资</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支付费用</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项目负责人：张芯</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51080022T000004941390-教学经费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0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1.学习资源建设整合，研究制定老年人学习发展指南，为不同年龄层次的老年人提供包括学习规划在内的教学和咨询服务，按照课时发放教师工资。</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2.补充教学所需设备，提升供给能力，加强基础能力建设。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3.参加3-4次省、市举办的大型老年活动比赛，争取优异成绩；举办重阳节、敬老月、红叶风采、书画展等活动。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4.选择4-5个爱老敬老社区开展共同联系办学及教学成果展示点。</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学习资源建设整合，研究制定老年人学习发展指南，为不同年龄层次的老年人提供包括学习规划在内的教学和咨询服务。补充教学所需设备，提升供给能力，加强基础能力建设。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安全、规范、效果显著。资金支付范围全用于聘用教师管理人员工资。支付标准均按照财政资金管理限额（标准）执行，聘用教师课时费100元/节、管理人员补助1000元/人/年。参加3-4次省、市举办的大型老年活动比赛，争取优异成绩；开展教学成果展示、公开课、老年教育进社区“共建共享”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8.96</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14.93</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8.96</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开展文体活动≧3次</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开展教学课时≧40课时</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学时</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推动老年教育发展</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老年学员满意度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10000元/场</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100元/课</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项目负责人：张芯</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51080022T000006688431-养老服务业发展补助资金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推动广元市老年大学政治文化、教育师资力量、教学教育规范化建设，开展宣传教学、安全、“三进一加强”工作，推动全市老年教育发展。</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推进政治文化、教育师资力量、教学教育规范化建设，开展宣传教学、安全、“三进一加强”工作。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安全、规范、效果显著。资金支付范围全用于开展党的建设和意识形态教育，组建老年临时党支部;开展教学文化建设、氛围打造和设施设备购置等工作。开展教师队伍组织聘请、培养培训、交流及各种教研活动。更新教学内容，改进教学方法，规范教学教材、购买教学用品，开展“互联网+养老”线上教学等工作。组织参加全国、省市各类比赛，通过教学成果展示、公开课等形式开展各类教学活动;制作宣传标语、录制教学教育宣传视频等。开展防疫、消防等工作，购买防疫物资及消防设施改造;进行安全教育，引导老年人提高人身安全、防骗及非法集资等意识。通过进机关、机构、社区，设置共同联系办学点;加强老年志愿服务的招募、培训及服务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12.64</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12.64</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12.64</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12.64</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文体活动费用</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推动老年教育发展</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老年学员满意度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项目负责人：张芯</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51080022T000007159746-养老服务业发展补助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推动广元市老年大学政治文化、师资力量、教学教育规范化建设、开展宣传教学、安全、“三进一加强”、“游学养”工作，推动全市老年教育发展。</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推进政治文化、教育师资力量、教学教育规范化建设，开展宣传教学、安全、“三进一加强”、“游学养”工作。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安全、规范、效果显著。资金支付范围全用于开展党的建设和意识形态教育，组建老年临时党支部;开展教学文化建设、氛围打造和设施设备购置等工作。开展教师队伍组织聘请、培养培训、交流及各种教研活动。更新教学内容，改进教学方法，规范教学教材、购买教学用品，开展“互联网+养老”线上教学等工作。开展“游学养”工作。组织参加全国、省市各类比赛，通过教学成果展示、公开课等形式开展各类教学活动;制作宣传标语、录制教学教育宣传视频等。开展防疫、消防等工作，购买防疫物资及消防设施改造;进行安全教育，引导老年人提高人身安全、防骗及非法集资等意识。通过进机关、机构、社区，设置共同联系办学点;加强老年志愿服务的招募、培训及服务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23.99</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调整预算资金12月下达，下达时间较晚，无法完成正常业务及支付工作。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23.99</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文体活动</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调整预算资金12月下达，下达时间较晚，无法完成正常业务及支付工作。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教学日常支出</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推动老年教育发展</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老年学员满意度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文体活动、教学日常支出</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项目负责人：张芯</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提高预算编制质量，严格执行预算，保障单位日常运转。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推动提高资金使用效力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项目负责人：何若菡</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51080023R000009698970-单位年度考核奖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推动提高资金使用效力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项目负责人：何若菡</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51080023T000008949296-年度考核奖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推动提高资金使用效力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项目负责人：何若菡</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0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8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51080024R000010851755-人员其他支出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24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广元市民政局部门</w:t>
            </w:r>
          </w:p>
        </w:tc>
        <w:tc>
          <w:tcPr>
            <w:tcW w:w="98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推动提高资金使用效力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6.81</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6.81</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6.81</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4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主要抓好预算绩效过程管理，建立全过程预算绩效管理链条。预算编制环节绩效目标管理与预算编制同步，绩效目标完整细化量化并集体决策；预算执行环目实施和费用控制良好，预算执行按照进度执行，年终无结余；决算环节开展事后绩效评价，绩效目标无偏离，对内加强绩效管理和挂钩，对外及时公开绩效信息；按照财政部门要求反馈结果应用，积极配合评价工作。节开展绩效监控，对绩效目标实现程度和预算执行进度实行“双监控”，努力发挥项目效益，部门整体支出绩效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资金使用和绩效管理还有待加强。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一是加强业务培训，进一步提高工作人员财政资金绩效意识；二是进一步细化项目预算，严格控制各项费用，过紧日子；三是今后对于财政资金项目，加大评价结果应用，真正做到“用钱必问效，无效必问责”。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5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项目负责人：何若菡</w:t>
            </w:r>
          </w:p>
        </w:tc>
        <w:tc>
          <w:tcPr>
            <w:tcW w:w="6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财务负责人：李晓曼</w:t>
            </w:r>
          </w:p>
        </w:tc>
      </w:tr>
    </w:tbl>
    <w:p>
      <w:pPr>
        <w:numPr>
          <w:ilvl w:val="0"/>
          <w:numId w:val="0"/>
        </w:numPr>
        <w:ind w:leftChars="0"/>
        <w:jc w:val="center"/>
        <w:rPr>
          <w:rFonts w:hint="eastAsia"/>
        </w:rPr>
      </w:pPr>
    </w:p>
    <w:p>
      <w:pPr>
        <w:pStyle w:val="7"/>
        <w:pageBreakBefore w:val="0"/>
        <w:kinsoku/>
        <w:wordWrap/>
        <w:overflowPunct/>
        <w:topLinePunct w:val="0"/>
        <w:bidi w:val="0"/>
        <w:adjustRightInd w:val="0"/>
        <w:snapToGrid w:val="0"/>
        <w:spacing w:before="0" w:line="560" w:lineRule="exact"/>
        <w:jc w:val="center"/>
        <w:textAlignment w:val="auto"/>
        <w:rPr>
          <w:rFonts w:hint="eastAsia" w:ascii="黑体" w:hAnsi="黑体" w:eastAsia="黑体" w:cs="黑体"/>
          <w:color w:val="auto"/>
          <w:sz w:val="44"/>
          <w:szCs w:val="44"/>
          <w:highlight w:val="none"/>
        </w:rPr>
      </w:pPr>
    </w:p>
    <w:p>
      <w:pPr>
        <w:pStyle w:val="7"/>
        <w:pageBreakBefore w:val="0"/>
        <w:kinsoku/>
        <w:wordWrap/>
        <w:overflowPunct/>
        <w:topLinePunct w:val="0"/>
        <w:bidi w:val="0"/>
        <w:adjustRightInd w:val="0"/>
        <w:snapToGrid w:val="0"/>
        <w:spacing w:before="0" w:line="560" w:lineRule="exact"/>
        <w:jc w:val="center"/>
        <w:textAlignment w:val="auto"/>
        <w:rPr>
          <w:rFonts w:hint="eastAsia" w:ascii="黑体" w:hAnsi="黑体" w:eastAsia="黑体" w:cs="黑体"/>
          <w:color w:val="auto"/>
          <w:sz w:val="44"/>
          <w:szCs w:val="44"/>
          <w:highlight w:val="none"/>
        </w:rPr>
      </w:pPr>
    </w:p>
    <w:p>
      <w:pPr>
        <w:pStyle w:val="7"/>
        <w:pageBreakBefore w:val="0"/>
        <w:kinsoku/>
        <w:wordWrap/>
        <w:overflowPunct/>
        <w:topLinePunct w:val="0"/>
        <w:bidi w:val="0"/>
        <w:adjustRightInd w:val="0"/>
        <w:snapToGrid w:val="0"/>
        <w:spacing w:before="0" w:line="560" w:lineRule="exact"/>
        <w:jc w:val="center"/>
        <w:textAlignment w:val="auto"/>
        <w:rPr>
          <w:rFonts w:hint="eastAsia" w:ascii="黑体" w:hAnsi="黑体" w:eastAsia="黑体" w:cs="黑体"/>
          <w:color w:val="auto"/>
          <w:sz w:val="44"/>
          <w:szCs w:val="44"/>
          <w:highlight w:val="none"/>
        </w:rPr>
      </w:pPr>
    </w:p>
    <w:p>
      <w:pPr>
        <w:pStyle w:val="7"/>
        <w:pageBreakBefore w:val="0"/>
        <w:kinsoku/>
        <w:wordWrap/>
        <w:overflowPunct/>
        <w:topLinePunct w:val="0"/>
        <w:bidi w:val="0"/>
        <w:adjustRightInd w:val="0"/>
        <w:snapToGrid w:val="0"/>
        <w:spacing w:before="0" w:line="560" w:lineRule="exact"/>
        <w:jc w:val="center"/>
        <w:textAlignment w:val="auto"/>
        <w:rPr>
          <w:rFonts w:hint="eastAsia" w:ascii="黑体" w:hAnsi="黑体" w:eastAsia="黑体" w:cs="黑体"/>
          <w:color w:val="auto"/>
          <w:sz w:val="44"/>
          <w:szCs w:val="44"/>
          <w:highlight w:val="none"/>
        </w:rPr>
      </w:pPr>
    </w:p>
    <w:p>
      <w:pPr>
        <w:pStyle w:val="7"/>
        <w:pageBreakBefore w:val="0"/>
        <w:kinsoku/>
        <w:wordWrap/>
        <w:overflowPunct/>
        <w:topLinePunct w:val="0"/>
        <w:bidi w:val="0"/>
        <w:adjustRightInd w:val="0"/>
        <w:snapToGrid w:val="0"/>
        <w:spacing w:before="0" w:line="560" w:lineRule="exact"/>
        <w:jc w:val="center"/>
        <w:textAlignment w:val="auto"/>
        <w:rPr>
          <w:rFonts w:hint="eastAsia" w:ascii="黑体" w:hAnsi="黑体" w:eastAsia="黑体" w:cs="黑体"/>
          <w:color w:val="auto"/>
          <w:sz w:val="44"/>
          <w:szCs w:val="44"/>
          <w:highlight w:val="none"/>
        </w:rPr>
      </w:pPr>
    </w:p>
    <w:p>
      <w:pPr>
        <w:pStyle w:val="7"/>
        <w:pageBreakBefore w:val="0"/>
        <w:kinsoku/>
        <w:wordWrap/>
        <w:overflowPunct/>
        <w:topLinePunct w:val="0"/>
        <w:bidi w:val="0"/>
        <w:adjustRightInd w:val="0"/>
        <w:snapToGrid w:val="0"/>
        <w:spacing w:before="0" w:line="560" w:lineRule="exact"/>
        <w:jc w:val="center"/>
        <w:textAlignment w:val="auto"/>
        <w:rPr>
          <w:rFonts w:hint="eastAsia" w:ascii="黑体" w:hAnsi="黑体" w:eastAsia="黑体" w:cs="黑体"/>
          <w:color w:val="auto"/>
          <w:sz w:val="44"/>
          <w:szCs w:val="44"/>
          <w:highlight w:val="none"/>
        </w:rPr>
      </w:pPr>
    </w:p>
    <w:p>
      <w:pPr>
        <w:rPr>
          <w:rFonts w:hint="eastAsia" w:ascii="黑体" w:hAnsi="黑体" w:eastAsia="黑体" w:cs="黑体"/>
          <w:color w:val="auto"/>
          <w:sz w:val="44"/>
          <w:szCs w:val="44"/>
          <w:highlight w:val="none"/>
        </w:rPr>
      </w:pPr>
    </w:p>
    <w:p>
      <w:pPr>
        <w:pStyle w:val="4"/>
        <w:rPr>
          <w:rFonts w:hint="eastAsia" w:ascii="黑体" w:hAnsi="黑体" w:eastAsia="黑体" w:cs="黑体"/>
          <w:color w:val="auto"/>
          <w:sz w:val="44"/>
          <w:szCs w:val="44"/>
          <w:highlight w:val="none"/>
        </w:rPr>
      </w:pPr>
    </w:p>
    <w:p>
      <w:pPr>
        <w:pStyle w:val="4"/>
        <w:rPr>
          <w:rFonts w:hint="eastAsia" w:ascii="黑体" w:hAnsi="黑体" w:eastAsia="黑体" w:cs="黑体"/>
          <w:color w:val="auto"/>
          <w:sz w:val="44"/>
          <w:szCs w:val="44"/>
          <w:highlight w:val="none"/>
        </w:rPr>
      </w:pPr>
    </w:p>
    <w:p>
      <w:pPr>
        <w:pStyle w:val="4"/>
        <w:rPr>
          <w:rFonts w:hint="eastAsia" w:ascii="黑体" w:hAnsi="黑体" w:eastAsia="黑体" w:cs="黑体"/>
          <w:color w:val="auto"/>
          <w:sz w:val="44"/>
          <w:szCs w:val="44"/>
          <w:highlight w:val="none"/>
        </w:rPr>
      </w:pPr>
    </w:p>
    <w:p>
      <w:pPr>
        <w:pStyle w:val="4"/>
        <w:rPr>
          <w:rFonts w:hint="eastAsia" w:ascii="黑体" w:hAnsi="黑体" w:eastAsia="黑体" w:cs="黑体"/>
          <w:color w:val="auto"/>
          <w:sz w:val="44"/>
          <w:szCs w:val="44"/>
          <w:highlight w:val="none"/>
        </w:rPr>
      </w:pPr>
    </w:p>
    <w:p>
      <w:pPr>
        <w:pStyle w:val="4"/>
        <w:rPr>
          <w:rFonts w:hint="eastAsia" w:ascii="黑体" w:hAnsi="黑体" w:eastAsia="黑体" w:cs="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sectPr>
          <w:pgSz w:w="16838" w:h="11906" w:orient="landscape"/>
          <w:pgMar w:top="1800" w:right="1440" w:bottom="1800" w:left="1440" w:header="851" w:footer="992" w:gutter="0"/>
          <w:cols w:space="425" w:num="1"/>
          <w:docGrid w:type="lines" w:linePitch="312" w:charSpace="0"/>
        </w:sectPr>
      </w:pPr>
    </w:p>
    <w:p>
      <w:pPr>
        <w:spacing w:line="600" w:lineRule="exact"/>
        <w:jc w:val="center"/>
        <w:outlineLvl w:val="0"/>
        <w:rPr>
          <w:rFonts w:hint="eastAsia" w:ascii="仿宋" w:hAnsi="仿宋" w:eastAsia="仿宋"/>
          <w:b w:val="0"/>
          <w:color w:val="auto"/>
          <w:highlight w:val="none"/>
        </w:rPr>
      </w:pPr>
      <w:bookmarkStart w:id="21" w:name="_Toc10833"/>
      <w:r>
        <w:rPr>
          <w:rFonts w:hint="eastAsia" w:ascii="黑体" w:hAnsi="黑体" w:eastAsia="黑体"/>
          <w:color w:val="auto"/>
          <w:sz w:val="44"/>
          <w:szCs w:val="44"/>
          <w:highlight w:val="none"/>
        </w:rPr>
        <w:t>第</w:t>
      </w:r>
      <w:r>
        <w:rPr>
          <w:rStyle w:val="12"/>
          <w:rFonts w:hint="eastAsia" w:ascii="黑体" w:hAnsi="黑体" w:eastAsia="黑体"/>
          <w:b w:val="0"/>
          <w:color w:val="auto"/>
          <w:highlight w:val="none"/>
        </w:rPr>
        <w:t>五部分 附表</w:t>
      </w:r>
      <w:bookmarkEnd w:id="21"/>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22" w:name="_Toc30248"/>
      <w:r>
        <w:rPr>
          <w:rFonts w:hint="eastAsia" w:ascii="仿宋" w:hAnsi="仿宋" w:eastAsia="仿宋"/>
          <w:b w:val="0"/>
          <w:color w:val="auto"/>
          <w:highlight w:val="none"/>
        </w:rPr>
        <w:t>一、收</w:t>
      </w:r>
      <w:r>
        <w:rPr>
          <w:rStyle w:val="13"/>
          <w:rFonts w:hint="eastAsia" w:ascii="仿宋" w:hAnsi="仿宋" w:eastAsia="仿宋"/>
          <w:b w:val="0"/>
          <w:bCs w:val="0"/>
          <w:color w:val="auto"/>
          <w:highlight w:val="none"/>
        </w:rPr>
        <w:t>入支出决算总表</w:t>
      </w:r>
      <w:bookmarkEnd w:id="22"/>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23" w:name="_Toc25704"/>
      <w:r>
        <w:rPr>
          <w:rFonts w:hint="eastAsia" w:ascii="仿宋" w:hAnsi="仿宋" w:eastAsia="仿宋"/>
          <w:b w:val="0"/>
          <w:color w:val="auto"/>
          <w:highlight w:val="none"/>
        </w:rPr>
        <w:t>二、收</w:t>
      </w:r>
      <w:r>
        <w:rPr>
          <w:rStyle w:val="13"/>
          <w:rFonts w:hint="eastAsia" w:ascii="仿宋" w:hAnsi="仿宋" w:eastAsia="仿宋"/>
          <w:b w:val="0"/>
          <w:bCs w:val="0"/>
          <w:color w:val="auto"/>
          <w:highlight w:val="none"/>
        </w:rPr>
        <w:t>入决算表</w:t>
      </w:r>
      <w:bookmarkEnd w:id="23"/>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24" w:name="_Toc12748"/>
      <w:r>
        <w:rPr>
          <w:rStyle w:val="1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3"/>
          <w:rFonts w:hint="eastAsia" w:ascii="仿宋" w:hAnsi="仿宋" w:eastAsia="仿宋"/>
          <w:b w:val="0"/>
          <w:bCs w:val="0"/>
          <w:color w:val="auto"/>
          <w:highlight w:val="none"/>
        </w:rPr>
        <w:t>出决算表</w:t>
      </w:r>
      <w:bookmarkEnd w:id="24"/>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val="0"/>
          <w:color w:val="auto"/>
          <w:highlight w:val="none"/>
        </w:rPr>
      </w:pPr>
      <w:bookmarkStart w:id="25" w:name="_Toc6378"/>
      <w:r>
        <w:rPr>
          <w:rStyle w:val="1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3"/>
          <w:rFonts w:hint="eastAsia" w:ascii="仿宋" w:hAnsi="仿宋" w:eastAsia="仿宋"/>
          <w:b w:val="0"/>
          <w:bCs w:val="0"/>
          <w:color w:val="auto"/>
          <w:highlight w:val="none"/>
        </w:rPr>
        <w:t>政拨款收入支出决算总表</w:t>
      </w:r>
      <w:bookmarkEnd w:id="25"/>
    </w:p>
    <w:p>
      <w:pPr>
        <w:pStyle w:val="3"/>
        <w:pageBreakBefore w:val="0"/>
        <w:widowControl w:val="0"/>
        <w:kinsoku/>
        <w:wordWrap/>
        <w:overflowPunct/>
        <w:topLinePunct w:val="0"/>
        <w:autoSpaceDE/>
        <w:autoSpaceDN/>
        <w:bidi w:val="0"/>
        <w:adjustRightInd/>
        <w:snapToGrid/>
        <w:spacing w:line="560" w:lineRule="exact"/>
        <w:textAlignment w:val="auto"/>
        <w:rPr>
          <w:rStyle w:val="13"/>
          <w:rFonts w:ascii="仿宋" w:hAnsi="仿宋" w:eastAsia="仿宋"/>
          <w:b w:val="0"/>
          <w:bCs w:val="0"/>
          <w:color w:val="auto"/>
          <w:highlight w:val="none"/>
        </w:rPr>
      </w:pPr>
      <w:bookmarkStart w:id="26" w:name="_Toc28324"/>
      <w:r>
        <w:rPr>
          <w:rStyle w:val="1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3"/>
          <w:rFonts w:hint="eastAsia" w:ascii="仿宋" w:hAnsi="仿宋" w:eastAsia="仿宋"/>
          <w:b w:val="0"/>
          <w:bCs w:val="0"/>
          <w:color w:val="auto"/>
          <w:highlight w:val="none"/>
        </w:rPr>
        <w:t>政拨款支出决算明细表</w:t>
      </w:r>
      <w:bookmarkEnd w:id="26"/>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27" w:name="_Toc8554"/>
      <w:r>
        <w:rPr>
          <w:rStyle w:val="1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般公共预算财政拨款支出决算表</w:t>
      </w:r>
      <w:bookmarkEnd w:id="27"/>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28" w:name="_Toc11688"/>
      <w:r>
        <w:rPr>
          <w:rStyle w:val="1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般公共预算财政拨款支出决算明细表</w:t>
      </w:r>
      <w:bookmarkEnd w:id="28"/>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29" w:name="_Toc6639"/>
      <w:r>
        <w:rPr>
          <w:rStyle w:val="1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般公共预算财政拨款基本支出决算表</w:t>
      </w:r>
      <w:bookmarkEnd w:id="29"/>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30" w:name="_Toc26119"/>
      <w:r>
        <w:rPr>
          <w:rStyle w:val="1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3"/>
          <w:rFonts w:hint="eastAsia" w:ascii="仿宋" w:hAnsi="仿宋" w:eastAsia="仿宋"/>
          <w:b w:val="0"/>
          <w:bCs w:val="0"/>
          <w:color w:val="auto"/>
          <w:highlight w:val="none"/>
        </w:rPr>
        <w:t>般公共预算财政拨款项目支出决算表</w:t>
      </w:r>
      <w:bookmarkEnd w:id="30"/>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31" w:name="_Toc17187"/>
      <w:r>
        <w:rPr>
          <w:rStyle w:val="13"/>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13"/>
          <w:rFonts w:hint="eastAsia" w:ascii="仿宋" w:hAnsi="仿宋" w:eastAsia="仿宋"/>
          <w:b w:val="0"/>
          <w:bCs w:val="0"/>
          <w:color w:val="auto"/>
          <w:highlight w:val="none"/>
        </w:rPr>
        <w:t>府性基金预算财政拨款收入支出决算表</w:t>
      </w:r>
      <w:bookmarkEnd w:id="31"/>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32" w:name="_Toc19224"/>
      <w:r>
        <w:rPr>
          <w:rStyle w:val="13"/>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13"/>
          <w:rFonts w:hint="eastAsia" w:ascii="仿宋" w:hAnsi="仿宋" w:eastAsia="仿宋"/>
          <w:b w:val="0"/>
          <w:bCs w:val="0"/>
          <w:color w:val="auto"/>
          <w:highlight w:val="none"/>
        </w:rPr>
        <w:t>有资本经营预算</w:t>
      </w:r>
      <w:r>
        <w:rPr>
          <w:rStyle w:val="13"/>
          <w:rFonts w:hint="eastAsia" w:ascii="仿宋" w:hAnsi="仿宋" w:eastAsia="仿宋"/>
          <w:b w:val="0"/>
          <w:bCs w:val="0"/>
          <w:color w:val="auto"/>
          <w:highlight w:val="none"/>
          <w:lang w:eastAsia="zh-CN"/>
        </w:rPr>
        <w:t>财政拨款收入</w:t>
      </w:r>
      <w:r>
        <w:rPr>
          <w:rStyle w:val="13"/>
          <w:rFonts w:hint="eastAsia" w:ascii="仿宋" w:hAnsi="仿宋" w:eastAsia="仿宋"/>
          <w:b w:val="0"/>
          <w:bCs w:val="0"/>
          <w:color w:val="auto"/>
          <w:highlight w:val="none"/>
        </w:rPr>
        <w:t>支出决算表</w:t>
      </w:r>
      <w:bookmarkEnd w:id="32"/>
    </w:p>
    <w:p>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33" w:name="_Toc27403"/>
      <w:r>
        <w:rPr>
          <w:rStyle w:val="13"/>
          <w:rFonts w:hint="eastAsia" w:ascii="仿宋" w:hAnsi="仿宋" w:eastAsia="仿宋"/>
          <w:b w:val="0"/>
          <w:bCs w:val="0"/>
          <w:color w:val="auto"/>
          <w:highlight w:val="none"/>
        </w:rPr>
        <w:t>十二、</w:t>
      </w:r>
      <w:r>
        <w:rPr>
          <w:rStyle w:val="13"/>
          <w:rFonts w:hint="eastAsia" w:ascii="仿宋" w:hAnsi="仿宋" w:eastAsia="仿宋"/>
          <w:b w:val="0"/>
          <w:bCs w:val="0"/>
          <w:color w:val="auto"/>
          <w:highlight w:val="none"/>
          <w:lang w:eastAsia="zh-CN"/>
        </w:rPr>
        <w:t>国有资本经营预算财政拨款支出决算表</w:t>
      </w:r>
      <w:bookmarkEnd w:id="33"/>
    </w:p>
    <w:p>
      <w:pPr>
        <w:pStyle w:val="3"/>
        <w:pageBreakBefore w:val="0"/>
        <w:widowControl w:val="0"/>
        <w:kinsoku/>
        <w:wordWrap/>
        <w:overflowPunct/>
        <w:topLinePunct w:val="0"/>
        <w:autoSpaceDE/>
        <w:autoSpaceDN/>
        <w:bidi w:val="0"/>
        <w:adjustRightInd/>
        <w:snapToGrid/>
        <w:spacing w:line="560" w:lineRule="exact"/>
        <w:textAlignment w:val="auto"/>
        <w:rPr>
          <w:rFonts w:hint="eastAsia" w:eastAsia="仿宋"/>
          <w:color w:val="auto"/>
          <w:highlight w:val="none"/>
          <w:lang w:eastAsia="zh-CN"/>
        </w:rPr>
      </w:pPr>
      <w:bookmarkStart w:id="34" w:name="_Toc25258"/>
      <w:r>
        <w:rPr>
          <w:rStyle w:val="13"/>
          <w:rFonts w:hint="eastAsia" w:ascii="仿宋" w:hAnsi="仿宋" w:eastAsia="仿宋"/>
          <w:b w:val="0"/>
          <w:bCs w:val="0"/>
          <w:color w:val="auto"/>
          <w:highlight w:val="none"/>
        </w:rPr>
        <w:t>十三、</w:t>
      </w:r>
      <w:r>
        <w:rPr>
          <w:rStyle w:val="13"/>
          <w:rFonts w:hint="eastAsia" w:ascii="仿宋" w:hAnsi="仿宋" w:eastAsia="仿宋"/>
          <w:b w:val="0"/>
          <w:bCs w:val="0"/>
          <w:color w:val="auto"/>
          <w:highlight w:val="none"/>
          <w:lang w:eastAsia="zh-CN"/>
        </w:rPr>
        <w:t>财政拨款“三公”经费支出决算表</w:t>
      </w:r>
      <w:bookmarkEnd w:id="34"/>
    </w:p>
    <w:p>
      <w:pPr>
        <w:pStyle w:val="4"/>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44"/>
          <w:szCs w:val="44"/>
          <w:highlight w:val="none"/>
        </w:rPr>
      </w:pPr>
    </w:p>
    <w:p>
      <w:pPr>
        <w:pageBreakBefore w:val="0"/>
        <w:widowControl w:val="0"/>
        <w:kinsoku/>
        <w:wordWrap/>
        <w:overflowPunct/>
        <w:topLinePunct w:val="0"/>
        <w:autoSpaceDE/>
        <w:autoSpaceDN/>
        <w:bidi w:val="0"/>
        <w:adjustRightInd/>
        <w:snapToGrid/>
        <w:spacing w:line="560" w:lineRule="exact"/>
        <w:textAlignment w:val="auto"/>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F226BE-EF55-4609-AC53-CC88EF6085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3806B61-2F31-442E-85A9-9C05D45C0138}"/>
  </w:font>
  <w:font w:name="微软雅黑">
    <w:panose1 w:val="020B0503020204020204"/>
    <w:charset w:val="86"/>
    <w:family w:val="auto"/>
    <w:pitch w:val="default"/>
    <w:sig w:usb0="80000287" w:usb1="2ACF3C50" w:usb2="00000016" w:usb3="00000000" w:csb0="0004001F" w:csb1="00000000"/>
    <w:embedRegular r:id="rId3" w:fontKey="{C3189961-812A-4DCF-A0CE-10EB5777BB03}"/>
  </w:font>
  <w:font w:name="方正小标宋简体">
    <w:panose1 w:val="03000509000000000000"/>
    <w:charset w:val="86"/>
    <w:family w:val="script"/>
    <w:pitch w:val="default"/>
    <w:sig w:usb0="00000001" w:usb1="080E0000" w:usb2="00000000" w:usb3="00000000" w:csb0="00040000" w:csb1="00000000"/>
    <w:embedRegular r:id="rId4" w:fontKey="{CC107DB7-452B-41D0-B7F1-3C5D906B7968}"/>
  </w:font>
  <w:font w:name="仿宋_GB2312">
    <w:panose1 w:val="02010609030101010101"/>
    <w:charset w:val="86"/>
    <w:family w:val="modern"/>
    <w:pitch w:val="default"/>
    <w:sig w:usb0="00000001" w:usb1="080E0000" w:usb2="00000000" w:usb3="00000000" w:csb0="00040000" w:csb1="00000000"/>
    <w:embedRegular r:id="rId5" w:fontKey="{9C6530F2-64D4-45D3-9CF0-76C65D6D92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0FC08"/>
    <w:multiLevelType w:val="singleLevel"/>
    <w:tmpl w:val="A4E0FC08"/>
    <w:lvl w:ilvl="0" w:tentative="0">
      <w:start w:val="4"/>
      <w:numFmt w:val="chineseCounting"/>
      <w:suff w:val="nothing"/>
      <w:lvlText w:val="%1、"/>
      <w:lvlJc w:val="left"/>
      <w:rPr>
        <w:rFonts w:hint="eastAsia"/>
      </w:rPr>
    </w:lvl>
  </w:abstractNum>
  <w:abstractNum w:abstractNumId="1">
    <w:nsid w:val="2E1EBF60"/>
    <w:multiLevelType w:val="singleLevel"/>
    <w:tmpl w:val="2E1EBF60"/>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NGI3YmJkZGUyYjNkNzAzYWVhMWZhM2QyOTY5NmYifQ=="/>
  </w:docVars>
  <w:rsids>
    <w:rsidRoot w:val="44C54E5B"/>
    <w:rsid w:val="04316F76"/>
    <w:rsid w:val="05561E22"/>
    <w:rsid w:val="07E3599F"/>
    <w:rsid w:val="09D27E0F"/>
    <w:rsid w:val="0C1D1F84"/>
    <w:rsid w:val="0D336E17"/>
    <w:rsid w:val="0D48759E"/>
    <w:rsid w:val="0E45515F"/>
    <w:rsid w:val="0F2729AB"/>
    <w:rsid w:val="10A84371"/>
    <w:rsid w:val="10BC7F9A"/>
    <w:rsid w:val="12E74FB1"/>
    <w:rsid w:val="16E67E48"/>
    <w:rsid w:val="184B770B"/>
    <w:rsid w:val="19E716B5"/>
    <w:rsid w:val="1B1B527C"/>
    <w:rsid w:val="1BBC061B"/>
    <w:rsid w:val="1CFD2F9D"/>
    <w:rsid w:val="1DD67347"/>
    <w:rsid w:val="20DB25F5"/>
    <w:rsid w:val="22756ED2"/>
    <w:rsid w:val="24C9147A"/>
    <w:rsid w:val="26A71992"/>
    <w:rsid w:val="272F2A1D"/>
    <w:rsid w:val="27D626CB"/>
    <w:rsid w:val="2BAE47C8"/>
    <w:rsid w:val="2BC81259"/>
    <w:rsid w:val="331E47FA"/>
    <w:rsid w:val="33667727"/>
    <w:rsid w:val="35C506A4"/>
    <w:rsid w:val="36711F6F"/>
    <w:rsid w:val="37F4686F"/>
    <w:rsid w:val="3A4F678F"/>
    <w:rsid w:val="3A777998"/>
    <w:rsid w:val="3B717104"/>
    <w:rsid w:val="3ECD21F3"/>
    <w:rsid w:val="3FF545DE"/>
    <w:rsid w:val="43615649"/>
    <w:rsid w:val="44C54E5B"/>
    <w:rsid w:val="46DA7D28"/>
    <w:rsid w:val="4B1D4687"/>
    <w:rsid w:val="4BCA10CF"/>
    <w:rsid w:val="4D381304"/>
    <w:rsid w:val="4D46134F"/>
    <w:rsid w:val="4F2C56AB"/>
    <w:rsid w:val="50E92977"/>
    <w:rsid w:val="51226553"/>
    <w:rsid w:val="522921B8"/>
    <w:rsid w:val="531E6426"/>
    <w:rsid w:val="534D64B3"/>
    <w:rsid w:val="555829B5"/>
    <w:rsid w:val="564D49B4"/>
    <w:rsid w:val="569E4D4A"/>
    <w:rsid w:val="58321718"/>
    <w:rsid w:val="596F6522"/>
    <w:rsid w:val="5B0B62AA"/>
    <w:rsid w:val="5C0D1BAE"/>
    <w:rsid w:val="60BC0408"/>
    <w:rsid w:val="637B3BB3"/>
    <w:rsid w:val="638162E7"/>
    <w:rsid w:val="63E31169"/>
    <w:rsid w:val="64FF257A"/>
    <w:rsid w:val="660D4F89"/>
    <w:rsid w:val="66EC3879"/>
    <w:rsid w:val="68914293"/>
    <w:rsid w:val="69431305"/>
    <w:rsid w:val="699B6A4B"/>
    <w:rsid w:val="69BB44C4"/>
    <w:rsid w:val="6AF503DD"/>
    <w:rsid w:val="6B8A420E"/>
    <w:rsid w:val="6E377E41"/>
    <w:rsid w:val="6EEF2DAA"/>
    <w:rsid w:val="6FE10921"/>
    <w:rsid w:val="6FE50A20"/>
    <w:rsid w:val="724B706D"/>
    <w:rsid w:val="733817AF"/>
    <w:rsid w:val="7662389D"/>
    <w:rsid w:val="79442C5B"/>
    <w:rsid w:val="7B835E63"/>
    <w:rsid w:val="7C217284"/>
    <w:rsid w:val="7C26777E"/>
    <w:rsid w:val="7D80622C"/>
    <w:rsid w:val="7DB61057"/>
    <w:rsid w:val="7F143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qFormat/>
    <w:uiPriority w:val="99"/>
    <w:rPr>
      <w:b/>
    </w:rPr>
  </w:style>
  <w:style w:type="character" w:customStyle="1" w:styleId="12">
    <w:name w:val="标题 1 Char"/>
    <w:basedOn w:val="10"/>
    <w:link w:val="2"/>
    <w:qFormat/>
    <w:uiPriority w:val="9"/>
    <w:rPr>
      <w:b/>
      <w:bCs/>
      <w:kern w:val="44"/>
      <w:sz w:val="44"/>
      <w:szCs w:val="44"/>
    </w:rPr>
  </w:style>
  <w:style w:type="character" w:customStyle="1" w:styleId="13">
    <w:name w:val="标题 2 Char"/>
    <w:basedOn w:val="10"/>
    <w:link w:val="3"/>
    <w:qFormat/>
    <w:uiPriority w:val="9"/>
    <w:rPr>
      <w:rFonts w:ascii="Cambria" w:hAnsi="Cambria" w:eastAsia="宋体" w:cs="Times New Roman"/>
      <w:b/>
      <w:bCs/>
      <w:sz w:val="32"/>
      <w:szCs w:val="32"/>
    </w:rPr>
  </w:style>
  <w:style w:type="paragraph" w:customStyle="1" w:styleId="14">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2022年（万元）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0</c:v>
                </c:pt>
                <c:pt idx="1">
                  <c:v>0</c:v>
                </c:pt>
              </c:numCache>
            </c:numRef>
          </c:val>
        </c:ser>
        <c:ser>
          <c:idx val="1"/>
          <c:order val="1"/>
          <c:tx>
            <c:strRef>
              <c:f>Sheet1!$C$1</c:f>
              <c:strCache>
                <c:ptCount val="1"/>
                <c:pt idx="0">
                  <c:v>2023年（万元）</c:v>
                </c:pt>
              </c:strCache>
            </c:strRef>
          </c:tx>
          <c:spPr>
            <a:solidFill>
              <a:schemeClr val="accent2"/>
            </a:solidFill>
            <a:ln>
              <a:noFill/>
            </a:ln>
            <a:effectLst>
              <a:outerShdw blurRad="40000" dist="23000" dir="5400000" rotWithShape="0">
                <a:srgbClr val="000000">
                  <a:alpha val="35000"/>
                </a:srgbClr>
              </a:outerShdw>
            </a:effectLst>
          </c:spPr>
          <c:invertIfNegative val="0"/>
          <c:dPt>
            <c:idx val="0"/>
            <c:invertIfNegative val="0"/>
            <c:bubble3D val="0"/>
            <c:spPr>
              <a:solidFill>
                <a:schemeClr val="accent1">
                  <a:lumMod val="60000"/>
                  <a:lumOff val="40000"/>
                </a:schemeClr>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2022年</c:v>
                </c:pt>
                <c:pt idx="1">
                  <c:v>2023年</c:v>
                </c:pt>
              </c:strCache>
            </c:strRef>
          </c:cat>
          <c:val>
            <c:numRef>
              <c:f>Sheet1!$C$2:$C$3</c:f>
              <c:numCache>
                <c:formatCode>General</c:formatCode>
                <c:ptCount val="2"/>
                <c:pt idx="0">
                  <c:v>250.73</c:v>
                </c:pt>
                <c:pt idx="1">
                  <c:v>237.84</c:v>
                </c:pt>
              </c:numCache>
            </c:numRef>
          </c:val>
        </c:ser>
        <c:ser>
          <c:idx val="2"/>
          <c:order val="2"/>
          <c:tx>
            <c:strRef>
              <c:f>Sheet1!#REF!</c:f>
              <c:strCache>
                <c:ptCount val="1"/>
                <c:pt idx="0">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24"/>
        <c:axId val="424208556"/>
        <c:axId val="47296063"/>
      </c:barChart>
      <c:catAx>
        <c:axId val="42420855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7296063"/>
        <c:crosses val="autoZero"/>
        <c:auto val="1"/>
        <c:lblAlgn val="ctr"/>
        <c:lblOffset val="100"/>
        <c:noMultiLvlLbl val="0"/>
      </c:catAx>
      <c:valAx>
        <c:axId val="472960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2420855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solidFill>
              <a:schemeClr val="accent1">
                <a:lumMod val="60000"/>
                <a:lumOff val="40000"/>
              </a:schemeClr>
            </a:solidFill>
            <a:effectLst/>
          </c:spPr>
          <c:explosion val="0"/>
          <c:dPt>
            <c:idx val="0"/>
            <c:bubble3D val="0"/>
            <c:spPr>
              <a:solidFill>
                <a:schemeClr val="accent1">
                  <a:lumMod val="60000"/>
                  <a:lumOff val="40000"/>
                </a:schemeClr>
              </a:solidFill>
              <a:ln>
                <a:noFill/>
              </a:ln>
              <a:effectLst/>
            </c:spPr>
          </c:dPt>
          <c:dLbls>
            <c:dLbl>
              <c:idx val="0"/>
              <c:layout>
                <c:manualLayout>
                  <c:x val="0.00132023731523792"/>
                  <c:y val="-0.338112566034474"/>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solidFill>
                        <a:latin typeface="+mn-lt"/>
                        <a:ea typeface="+mn-ea"/>
                        <a:cs typeface="+mn-cs"/>
                      </a:defRPr>
                    </a:pPr>
                    <a:r>
                      <a:t>237.</a:t>
                    </a:r>
                    <a:r>
                      <a:rPr lang="en-US" altLang="zh-CN"/>
                      <a:t>47</a:t>
                    </a:r>
                    <a:r>
                      <a:t>, </a:t>
                    </a:r>
                    <a:r>
                      <a:rPr lang="en-US" altLang="zh-CN"/>
                      <a:t>100</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27459382253169"/>
                      <c:h val="0.305875576036866"/>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一般公共预算财政拨款收入（万元）</c:v>
                </c:pt>
              </c:strCache>
            </c:strRef>
          </c:cat>
          <c:val>
            <c:numRef>
              <c:f>Sheet1!$B$2</c:f>
              <c:numCache>
                <c:formatCode>General</c:formatCode>
                <c:ptCount val="1"/>
                <c:pt idx="0">
                  <c:v>237.47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支出决算结构图</c:v>
                </c:pt>
              </c:strCache>
            </c:strRef>
          </c:tx>
          <c:spPr/>
          <c:explosion val="0"/>
          <c:dPt>
            <c:idx val="0"/>
            <c:bubble3D val="0"/>
            <c:spPr>
              <a:solidFill>
                <a:schemeClr val="accent1">
                  <a:lumMod val="60000"/>
                  <a:lumOff val="40000"/>
                </a:schemeClr>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1"/>
              <c:layout>
                <c:manualLayout>
                  <c:x val="0.0736422529588416"/>
                  <c:y val="0.16935709219089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基本支出（万元）</c:v>
                </c:pt>
                <c:pt idx="1">
                  <c:v>项目支出（万元）</c:v>
                </c:pt>
              </c:strCache>
            </c:strRef>
          </c:cat>
          <c:val>
            <c:numRef>
              <c:f>Sheet1!$B$2:$B$3</c:f>
              <c:numCache>
                <c:formatCode>General</c:formatCode>
                <c:ptCount val="2"/>
                <c:pt idx="0">
                  <c:v>172.25</c:v>
                </c:pt>
                <c:pt idx="1">
                  <c:v>65.59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2022年（万元）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0</c:v>
                </c:pt>
                <c:pt idx="1">
                  <c:v>0</c:v>
                </c:pt>
              </c:numCache>
            </c:numRef>
          </c:val>
        </c:ser>
        <c:ser>
          <c:idx val="1"/>
          <c:order val="1"/>
          <c:tx>
            <c:strRef>
              <c:f>Sheet1!$C$1</c:f>
              <c:strCache>
                <c:ptCount val="1"/>
                <c:pt idx="0">
                  <c:v>2023年（万元）</c:v>
                </c:pt>
              </c:strCache>
            </c:strRef>
          </c:tx>
          <c:spPr>
            <a:solidFill>
              <a:schemeClr val="accent2"/>
            </a:solidFill>
            <a:ln>
              <a:noFill/>
            </a:ln>
            <a:effectLst>
              <a:outerShdw blurRad="40000" dist="23000" dir="5400000" rotWithShape="0">
                <a:srgbClr val="000000">
                  <a:alpha val="35000"/>
                </a:srgbClr>
              </a:outerShdw>
            </a:effectLst>
          </c:spPr>
          <c:invertIfNegative val="0"/>
          <c:dPt>
            <c:idx val="0"/>
            <c:invertIfNegative val="0"/>
            <c:bubble3D val="0"/>
            <c:spPr>
              <a:solidFill>
                <a:schemeClr val="accent1">
                  <a:lumMod val="60000"/>
                  <a:lumOff val="40000"/>
                </a:schemeClr>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2022年</c:v>
                </c:pt>
                <c:pt idx="1">
                  <c:v>2023年</c:v>
                </c:pt>
              </c:strCache>
            </c:strRef>
          </c:cat>
          <c:val>
            <c:numRef>
              <c:f>Sheet1!$C$2:$C$3</c:f>
              <c:numCache>
                <c:formatCode>General</c:formatCode>
                <c:ptCount val="2"/>
                <c:pt idx="0">
                  <c:v>237.98</c:v>
                </c:pt>
                <c:pt idx="1">
                  <c:v>237.84</c:v>
                </c:pt>
              </c:numCache>
            </c:numRef>
          </c:val>
        </c:ser>
        <c:ser>
          <c:idx val="2"/>
          <c:order val="2"/>
          <c:tx>
            <c:strRef>
              <c:f>Sheet1!#REF!</c:f>
              <c:strCache>
                <c:ptCount val="1"/>
                <c:pt idx="0">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24"/>
        <c:axId val="424208556"/>
        <c:axId val="47296063"/>
      </c:barChart>
      <c:catAx>
        <c:axId val="42420855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7296063"/>
        <c:crosses val="autoZero"/>
        <c:auto val="1"/>
        <c:lblAlgn val="ctr"/>
        <c:lblOffset val="100"/>
        <c:noMultiLvlLbl val="0"/>
      </c:catAx>
      <c:valAx>
        <c:axId val="472960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2420855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2022年（万元）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0</c:v>
                </c:pt>
                <c:pt idx="1">
                  <c:v>0</c:v>
                </c:pt>
              </c:numCache>
            </c:numRef>
          </c:val>
        </c:ser>
        <c:ser>
          <c:idx val="1"/>
          <c:order val="1"/>
          <c:tx>
            <c:strRef>
              <c:f>Sheet1!$C$1</c:f>
              <c:strCache>
                <c:ptCount val="1"/>
                <c:pt idx="0">
                  <c:v>2023年（万元）</c:v>
                </c:pt>
              </c:strCache>
            </c:strRef>
          </c:tx>
          <c:spPr>
            <a:solidFill>
              <a:schemeClr val="accent2"/>
            </a:solidFill>
            <a:ln>
              <a:noFill/>
            </a:ln>
            <a:effectLst>
              <a:outerShdw blurRad="40000" dist="23000" dir="5400000" rotWithShape="0">
                <a:srgbClr val="000000">
                  <a:alpha val="35000"/>
                </a:srgbClr>
              </a:outerShdw>
            </a:effectLst>
          </c:spPr>
          <c:invertIfNegative val="0"/>
          <c:dPt>
            <c:idx val="0"/>
            <c:invertIfNegative val="0"/>
            <c:bubble3D val="0"/>
            <c:spPr>
              <a:solidFill>
                <a:schemeClr val="accent1">
                  <a:lumMod val="60000"/>
                  <a:lumOff val="40000"/>
                </a:schemeClr>
              </a:soli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2022年</c:v>
                </c:pt>
                <c:pt idx="1">
                  <c:v>2023年</c:v>
                </c:pt>
              </c:strCache>
            </c:strRef>
          </c:cat>
          <c:val>
            <c:numRef>
              <c:f>Sheet1!$C$2:$C$3</c:f>
              <c:numCache>
                <c:formatCode>General</c:formatCode>
                <c:ptCount val="2"/>
                <c:pt idx="0">
                  <c:v>217.98</c:v>
                </c:pt>
                <c:pt idx="1">
                  <c:v>237.84</c:v>
                </c:pt>
              </c:numCache>
            </c:numRef>
          </c:val>
        </c:ser>
        <c:ser>
          <c:idx val="2"/>
          <c:order val="2"/>
          <c:tx>
            <c:strRef>
              <c:f>Sheet1!#REF!</c:f>
              <c:strCache>
                <c:ptCount val="1"/>
                <c:pt idx="0">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24"/>
        <c:axId val="424208556"/>
        <c:axId val="47296063"/>
      </c:barChart>
      <c:catAx>
        <c:axId val="42420855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7296063"/>
        <c:crosses val="autoZero"/>
        <c:auto val="1"/>
        <c:lblAlgn val="ctr"/>
        <c:lblOffset val="100"/>
        <c:noMultiLvlLbl val="0"/>
      </c:catAx>
      <c:valAx>
        <c:axId val="472960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2420855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lumMod val="60000"/>
                  <a:lumOff val="40000"/>
                </a:schemeClr>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manualLayout>
                  <c:x val="-0.0787468947249558"/>
                  <c:y val="-0.25577042988949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solidFill>
                        <a:latin typeface="+mn-lt"/>
                        <a:ea typeface="+mn-ea"/>
                        <a:cs typeface="+mn-cs"/>
                      </a:defRPr>
                    </a:pPr>
                    <a:r>
                      <a:rPr lang="en-US" altLang="zh-CN"/>
                      <a:t>221.76</a:t>
                    </a:r>
                    <a:r>
                      <a:t>, 9</a:t>
                    </a:r>
                    <a:r>
                      <a:rPr lang="en-US" altLang="zh-CN"/>
                      <a:t>3.23</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93077803203661"/>
                      <c:h val="0.148373983739837"/>
                    </c:manualLayout>
                  </c15:layout>
                </c:ext>
              </c:extLst>
            </c:dLbl>
            <c:dLbl>
              <c:idx val="1"/>
              <c:layout>
                <c:manualLayout>
                  <c:x val="-0.0857118613146741"/>
                  <c:y val="0.0045030487413577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solidFill>
                        <a:latin typeface="+mn-lt"/>
                        <a:ea typeface="+mn-ea"/>
                        <a:cs typeface="+mn-cs"/>
                      </a:defRPr>
                    </a:pPr>
                    <a:r>
                      <a:rPr lang="en-US" altLang="zh-CN"/>
                      <a:t>5.37</a:t>
                    </a:r>
                    <a:r>
                      <a:t>, </a:t>
                    </a:r>
                    <a:r>
                      <a:rPr lang="en-US" altLang="zh-CN"/>
                      <a:t>2.26</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75629290617849"/>
                      <c:h val="0.163978494623656"/>
                    </c:manualLayout>
                  </c15:layout>
                </c:ext>
              </c:extLst>
            </c:dLbl>
            <c:dLbl>
              <c:idx val="2"/>
              <c:layout>
                <c:manualLayout>
                  <c:x val="0.169464284845356"/>
                  <c:y val="0.0153259799392258"/>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solidFill>
                        <a:latin typeface="+mn-lt"/>
                        <a:ea typeface="+mn-ea"/>
                        <a:cs typeface="+mn-cs"/>
                      </a:defRPr>
                    </a:pPr>
                    <a:r>
                      <a:rPr lang="en-US" altLang="zh-CN"/>
                      <a:t>10.72</a:t>
                    </a:r>
                    <a:r>
                      <a:t>, </a:t>
                    </a:r>
                    <a:r>
                      <a:rPr lang="en-US" altLang="zh-CN"/>
                      <a:t>4.51</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30692219679634"/>
                      <c:h val="0.0931899641577061"/>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社会保障就业支出（万元）</c:v>
                </c:pt>
                <c:pt idx="1">
                  <c:v>卫生健康支出（万元）</c:v>
                </c:pt>
                <c:pt idx="2">
                  <c:v>住房保障支出（万元）</c:v>
                </c:pt>
              </c:strCache>
            </c:strRef>
          </c:cat>
          <c:val>
            <c:numRef>
              <c:f>Sheet1!$B$2:$B$4</c:f>
              <c:numCache>
                <c:formatCode>General</c:formatCode>
                <c:ptCount val="3"/>
                <c:pt idx="0">
                  <c:v>221.76</c:v>
                </c:pt>
                <c:pt idx="1">
                  <c:v>5.37</c:v>
                </c:pt>
                <c:pt idx="2">
                  <c:v>10.72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0600686498856"/>
          <c:y val="0.426821983273596"/>
          <c:w val="0.332236842105263"/>
          <c:h val="0.263739545997611"/>
        </c:manualLayout>
      </c:layout>
      <c:overlay val="0"/>
      <c:spPr>
        <a:solidFill>
          <a:schemeClr val="lt1">
            <a:lumMod val="95000"/>
            <a:alpha val="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lumMod val="60000"/>
                  <a:lumOff val="40000"/>
                </a:schemeClr>
              </a:solidFill>
              <a:ln>
                <a:noFill/>
              </a:ln>
              <a:effectLst>
                <a:outerShdw blurRad="254000" sx="102000" sy="102000" algn="ctr" rotWithShape="0">
                  <a:prstClr val="black">
                    <a:alpha val="20000"/>
                  </a:prstClr>
                </a:outerShdw>
              </a:effectLst>
            </c:spPr>
          </c:dPt>
          <c:dLbls>
            <c:dLbl>
              <c:idx val="0"/>
              <c:layout>
                <c:manualLayout>
                  <c:x val="0.0104979565336254"/>
                  <c:y val="-0.298453356718765"/>
                </c:manualLayout>
              </c:layout>
              <c:tx>
                <c:rich>
                  <a:bodyPr rot="0" spcFirstLastPara="0" vertOverflow="ellipsis" vert="horz" wrap="square" lIns="38100" tIns="19050" rIns="38100" bIns="19050" anchor="ctr" anchorCtr="1"/>
                  <a:lstStyle/>
                  <a:p>
                    <a:pPr defTabSz="914400">
                      <a:defRPr lang="zh-CN" sz="1200" b="1" i="0" u="none" strike="noStrike" kern="1200" baseline="0">
                        <a:solidFill>
                          <a:schemeClr val="tx1"/>
                        </a:solidFill>
                        <a:latin typeface="+mn-lt"/>
                        <a:ea typeface="+mn-ea"/>
                        <a:cs typeface="+mn-cs"/>
                      </a:defRPr>
                    </a:pPr>
                    <a:r>
                      <a:rPr lang="en-US" altLang="zh-CN" sz="1200"/>
                      <a:t>0.15</a:t>
                    </a:r>
                    <a:r>
                      <a:rPr sz="1200"/>
                      <a:t>, </a:t>
                    </a:r>
                    <a:r>
                      <a:rPr lang="en-US" altLang="zh-CN" sz="1200"/>
                      <a:t>100</a:t>
                    </a:r>
                    <a:r>
                      <a:rPr sz="1200"/>
                      <a:t>%</a:t>
                    </a:r>
                    <a:endParaRPr sz="1200"/>
                  </a:p>
                </c:rich>
              </c:tx>
              <c:numFmt formatCode="General" sourceLinked="1"/>
              <c:spPr>
                <a:noFill/>
                <a:ln>
                  <a:noFill/>
                </a:ln>
                <a:effectLst>
                  <a:outerShdw blurRad="50800" dist="50800" dir="5400000" sx="12000" sy="12000" algn="ctr" rotWithShape="0">
                    <a:srgbClr val="000000">
                      <a:alpha val="43000"/>
                    </a:srgbClr>
                  </a:outerShdw>
                </a:effectLst>
              </c:spPr>
              <c:txPr>
                <a:bodyPr rot="0" spcFirstLastPara="0" vertOverflow="ellipsis" vert="horz" wrap="square" lIns="38100" tIns="19050" rIns="38100" bIns="19050" anchor="ctr" anchorCtr="1"/>
                <a:lstStyle/>
                <a:p>
                  <a:pPr>
                    <a:defRPr lang="zh-CN" sz="1200" b="1"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368135011441648"/>
                      <c:h val="0.416666666666667"/>
                    </c:manualLayout>
                  </c15:layout>
                </c:ext>
              </c:extLst>
            </c:dLbl>
            <c:spPr>
              <a:noFill/>
              <a:ln>
                <a:noFill/>
              </a:ln>
              <a:effectLst/>
            </c:spPr>
            <c:txPr>
              <a:bodyPr rot="0" spcFirstLastPara="0" vertOverflow="ellipsis" vert="horz" wrap="square" lIns="38100" tIns="19050" rIns="38100" bIns="19050" anchor="ctr" anchorCtr="1"/>
              <a:lstStyle/>
              <a:p>
                <a:pPr>
                  <a:defRPr lang="zh-CN" sz="12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公务接待费（万元）</c:v>
                </c:pt>
              </c:strCache>
            </c:strRef>
          </c:cat>
          <c:val>
            <c:numRef>
              <c:f>Sheet1!$B$2</c:f>
              <c:numCache>
                <c:formatCode>General</c:formatCode>
                <c:ptCount val="1"/>
                <c:pt idx="0">
                  <c:v>0.15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0600686498856"/>
          <c:y val="0.426821983273596"/>
          <c:w val="0.332236842105263"/>
          <c:h val="0.263739545997611"/>
        </c:manualLayout>
      </c:layout>
      <c:overlay val="0"/>
      <c:spPr>
        <a:solidFill>
          <a:schemeClr val="lt1">
            <a:lumMod val="95000"/>
            <a:alpha val="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17072</Words>
  <Characters>18902</Characters>
  <Lines>0</Lines>
  <Paragraphs>0</Paragraphs>
  <TotalTime>23</TotalTime>
  <ScaleCrop>false</ScaleCrop>
  <LinksUpToDate>false</LinksUpToDate>
  <CharactersWithSpaces>19016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2024-09-24T01:45:00Z</dcterms:created>
  <dc:creator>菡</dc:creator>
  <cp:lastModifiedBy>MATEBOOK13</cp:lastModifiedBy>
  <dcterms:modified xsi:type="dcterms:W3CDTF">2024-10-14T01:29:05Z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33441DE18617463F83EC04BF21BB152D_11</vt:lpwstr>
  </property>
</Properties>
</file>