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广元市殡葬管理所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sdt>
      <w:sdtPr>
        <w:rPr>
          <w:rFonts w:hint="eastAsia" w:ascii="仿宋" w:hAnsi="仿宋" w:eastAsia="仿宋" w:cs="仿宋"/>
          <w:color w:val="auto"/>
          <w:kern w:val="2"/>
          <w:sz w:val="21"/>
          <w:szCs w:val="24"/>
          <w:lang w:val="en-US" w:eastAsia="zh-CN" w:bidi="ar-SA"/>
        </w:rPr>
        <w:id w:val="147481070"/>
        <w15:color w:val="DBDBDB"/>
        <w:docPartObj>
          <w:docPartGallery w:val="Table of Contents"/>
          <w:docPartUnique/>
        </w:docPartObj>
      </w:sdtPr>
      <w:sdtEndPr>
        <w:rPr>
          <w:rFonts w:hint="eastAsia" w:ascii="仿宋_GB2312" w:hAnsi="仿宋_GB2312" w:eastAsia="仿宋_GB2312" w:cs="仿宋_GB2312"/>
          <w:b/>
          <w:i w:val="0"/>
          <w:caps w:val="0"/>
          <w:color w:val="000000" w:themeColor="text1"/>
          <w:spacing w:val="0"/>
          <w:kern w:val="0"/>
          <w:sz w:val="21"/>
          <w:szCs w:val="32"/>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"1-2" \h \u </w:instrText>
          </w: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_Toc2014792436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_Toc2014792436 \h </w:instrText>
          </w:r>
          <w:r>
            <w:fldChar w:fldCharType="separate"/>
          </w:r>
          <w:r>
            <w:t>1</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_Toc1290181115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广元市殡葬管理所单位</w:t>
          </w:r>
          <w:r>
            <w:rPr>
              <w:rFonts w:hint="eastAsia" w:ascii="楷体_GB2312" w:hAnsi="楷体_GB2312" w:eastAsia="楷体_GB2312" w:cs="楷体_GB2312"/>
              <w:szCs w:val="32"/>
            </w:rPr>
            <w:t>职能简介</w:t>
          </w:r>
          <w:r>
            <w:tab/>
          </w:r>
          <w:r>
            <w:fldChar w:fldCharType="begin"/>
          </w:r>
          <w:r>
            <w:instrText xml:space="preserve"> PAGEREF _Toc1290181115 \h </w:instrText>
          </w:r>
          <w:r>
            <w:fldChar w:fldCharType="separate"/>
          </w:r>
          <w:r>
            <w:t>1</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_Toc181622327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广元市殡葬管理所</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_Toc181622327 \h </w:instrText>
          </w:r>
          <w:r>
            <w:fldChar w:fldCharType="separate"/>
          </w:r>
          <w:r>
            <w:t>1</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_Toc47942729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二、部门预算单位构成</w:t>
          </w:r>
          <w:r>
            <w:tab/>
          </w:r>
          <w:r>
            <w:fldChar w:fldCharType="begin"/>
          </w:r>
          <w:r>
            <w:instrText xml:space="preserve"> PAGEREF _Toc47942729 \h </w:instrText>
          </w:r>
          <w:r>
            <w:fldChar w:fldCharType="separate"/>
          </w:r>
          <w:r>
            <w:t>3</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_Toc1980986896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三、收支预算情况说明</w:t>
          </w:r>
          <w:r>
            <w:tab/>
          </w:r>
          <w:r>
            <w:fldChar w:fldCharType="begin"/>
          </w:r>
          <w:r>
            <w:instrText xml:space="preserve"> PAGEREF _Toc1980986896 \h </w:instrText>
          </w:r>
          <w:r>
            <w:fldChar w:fldCharType="separate"/>
          </w:r>
          <w:r>
            <w:t>3</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_Toc1091509819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_Toc1091509819 \h </w:instrText>
          </w:r>
          <w:r>
            <w:fldChar w:fldCharType="separate"/>
          </w:r>
          <w:r>
            <w:t>3</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_Toc335957015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_Toc335957015 \h </w:instrText>
          </w:r>
          <w:r>
            <w:fldChar w:fldCharType="separate"/>
          </w:r>
          <w:r>
            <w:t>3</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_Toc59605568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四、财政拨款收支预算情况说明</w:t>
          </w:r>
          <w:r>
            <w:tab/>
          </w:r>
          <w:r>
            <w:fldChar w:fldCharType="begin"/>
          </w:r>
          <w:r>
            <w:instrText xml:space="preserve"> PAGEREF _Toc59605568 \h </w:instrText>
          </w:r>
          <w:r>
            <w:fldChar w:fldCharType="separate"/>
          </w:r>
          <w:r>
            <w:t>3</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_Toc2029512350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五、一般公共预算当年拨款情况说明</w:t>
          </w:r>
          <w:r>
            <w:tab/>
          </w:r>
          <w:r>
            <w:fldChar w:fldCharType="begin"/>
          </w:r>
          <w:r>
            <w:instrText xml:space="preserve"> PAGEREF _Toc2029512350 \h </w:instrText>
          </w:r>
          <w:r>
            <w:fldChar w:fldCharType="separate"/>
          </w:r>
          <w:r>
            <w:t>4</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_Toc252140867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_Toc252140867 \h </w:instrText>
          </w:r>
          <w:r>
            <w:fldChar w:fldCharType="separate"/>
          </w:r>
          <w:r>
            <w:t>4</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_Toc421009222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_Toc421009222 \h </w:instrText>
          </w:r>
          <w:r>
            <w:fldChar w:fldCharType="separate"/>
          </w:r>
          <w:r>
            <w:t>4</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_Toc1749045671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_Toc1749045671 \h </w:instrText>
          </w:r>
          <w:r>
            <w:fldChar w:fldCharType="separate"/>
          </w:r>
          <w:r>
            <w:t>4</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_Toc387110328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六、一般公共预算基本支出情况说明</w:t>
          </w:r>
          <w:r>
            <w:tab/>
          </w:r>
          <w:r>
            <w:fldChar w:fldCharType="begin"/>
          </w:r>
          <w:r>
            <w:instrText xml:space="preserve"> PAGEREF _Toc387110328 \h </w:instrText>
          </w:r>
          <w:r>
            <w:fldChar w:fldCharType="separate"/>
          </w:r>
          <w:r>
            <w:t>5</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_Toc132365369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七、“三公”经费财政拨款预算安排情况说明</w:t>
          </w:r>
          <w:r>
            <w:tab/>
          </w:r>
          <w:r>
            <w:fldChar w:fldCharType="begin"/>
          </w:r>
          <w:r>
            <w:instrText xml:space="preserve"> PAGEREF _Toc132365369 \h </w:instrText>
          </w:r>
          <w:r>
            <w:fldChar w:fldCharType="separate"/>
          </w:r>
          <w:r>
            <w:t>5</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_Toc1846869078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_Toc1846869078 \h </w:instrText>
          </w:r>
          <w:r>
            <w:fldChar w:fldCharType="separate"/>
          </w:r>
          <w:r>
            <w:t>5</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_Toc1321501493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 公务用车购置及运行维护费</w:t>
          </w:r>
          <w:r>
            <w:tab/>
          </w:r>
          <w:r>
            <w:fldChar w:fldCharType="begin"/>
          </w:r>
          <w:r>
            <w:instrText xml:space="preserve"> PAGEREF _Toc1321501493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_Toc809730983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tab/>
          </w:r>
          <w:r>
            <w:fldChar w:fldCharType="begin"/>
          </w:r>
          <w:r>
            <w:instrText xml:space="preserve"> PAGEREF _Toc809730983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_Toc1174459164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八、政府性基金预算支出情况说明</w:t>
          </w:r>
          <w:r>
            <w:tab/>
          </w:r>
          <w:r>
            <w:fldChar w:fldCharType="begin"/>
          </w:r>
          <w:r>
            <w:instrText xml:space="preserve"> PAGEREF _Toc1174459164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_Toc1758412248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九、国有资本经营预算支出情况说明</w:t>
          </w:r>
          <w:r>
            <w:tab/>
          </w:r>
          <w:r>
            <w:fldChar w:fldCharType="begin"/>
          </w:r>
          <w:r>
            <w:instrText xml:space="preserve"> PAGEREF _Toc1758412248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_Toc1001230658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十、其他重要事项的情况说明</w:t>
          </w:r>
          <w:r>
            <w:tab/>
          </w:r>
          <w:r>
            <w:fldChar w:fldCharType="begin"/>
          </w:r>
          <w:r>
            <w:instrText xml:space="preserve"> PAGEREF _Toc1001230658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_Toc1702194178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_Toc1702194178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_Toc34994720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_Toc34994720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_Toc1575540106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_Toc1575540106 \h </w:instrText>
          </w:r>
          <w:r>
            <w:fldChar w:fldCharType="separate"/>
          </w:r>
          <w:r>
            <w:t>6</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_Toc1035158936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_Toc1035158936 \h </w:instrText>
          </w:r>
          <w:r>
            <w:fldChar w:fldCharType="separate"/>
          </w:r>
          <w:r>
            <w:t>7</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7"/>
            <w:tabs>
              <w:tab w:val="right" w:leader="dot" w:pos="8845"/>
            </w:tabs>
            <w:spacing w:line="300" w:lineRule="auto"/>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楷体" w:hAnsi="楷体" w:eastAsia="楷体" w:cs="楷体"/>
              <w:i w:val="0"/>
              <w:caps w:val="0"/>
              <w:spacing w:val="0"/>
              <w:kern w:val="0"/>
              <w:szCs w:val="32"/>
              <w:highlight w:val="none"/>
              <w:shd w:val="clear" w:color="auto" w:fill="FFFFFF"/>
              <w:lang w:val="en-US" w:eastAsia="zh-CN" w:bidi="ar"/>
            </w:rPr>
            <w:instrText xml:space="preserve"> HYPERLINK \l _Toc352604153 </w:instrText>
          </w:r>
          <w:r>
            <w:rPr>
              <w:rFonts w:hint="eastAsia" w:ascii="楷体" w:hAnsi="楷体" w:eastAsia="楷体" w:cs="楷体"/>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十一、名词解释</w:t>
          </w:r>
          <w:r>
            <w:tab/>
          </w:r>
          <w:r>
            <w:fldChar w:fldCharType="begin"/>
          </w:r>
          <w:r>
            <w:instrText xml:space="preserve"> PAGEREF _Toc352604153 \h </w:instrText>
          </w:r>
          <w:r>
            <w:fldChar w:fldCharType="separate"/>
          </w:r>
          <w:r>
            <w:t>7</w:t>
          </w:r>
          <w:r>
            <w:fldChar w:fldCharType="end"/>
          </w: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spacing w:line="300" w:lineRule="auto"/>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sdtContent>
    </w:sdt>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0" w:name="_Toc2014792436"/>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rPr>
      </w:pPr>
      <w:bookmarkStart w:id="1" w:name="_Toc1290181115"/>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广元市殡葬管理所单位</w:t>
      </w:r>
      <w:r>
        <w:rPr>
          <w:rFonts w:hint="eastAsia" w:ascii="楷体_GB2312" w:hAnsi="楷体_GB2312" w:eastAsia="楷体_GB2312" w:cs="楷体_GB2312"/>
          <w:sz w:val="32"/>
          <w:szCs w:val="32"/>
        </w:rPr>
        <w:t>职能简介</w:t>
      </w:r>
      <w:bookmarkEnd w:id="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是广元市民政局下属单位，为正科级单位。广元市殡葬管理所贯彻落实党中央关于民政工作的方针政策和省委、市委的决策部署，在履行职责过程中坚持和加强党对民政工作的集中统一领导。主要职责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1.贯彻、执行《国务院殡葬管理条例》《四川省殡葬管理条例》《四川公墓管理条例》及相关殡葬改革有关政策。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2.掌握全市殡葬改革情况，制定殡葬监管执法工作有关计划规划。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3.负责监督管理全市殡葬活动，依法查处违法违规行为。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4.负责全市殡仪馆、公墓、墓地、骨灰存（安）放处（室、堂）等殡葬服务单位的管理、监督、检查。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5.负责市本级殡葬救助和无名尸体火化费的审定和使用管理工作，尸体异地火化的管理工作。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6.负责全市火化证的统一印制和管理工作。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7.负责全市殡葬行业前置准入审批工作，指导市殡葬行业协会开展工作。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rPr>
      </w:pPr>
      <w:bookmarkStart w:id="2" w:name="_Toc181622327"/>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广元市殡葬管理所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2"/>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auto"/>
          <w:kern w:val="2"/>
          <w:sz w:val="32"/>
          <w:szCs w:val="32"/>
          <w:lang w:val="en-US" w:eastAsia="zh-CN" w:bidi="ar-SA"/>
        </w:rPr>
        <w:t>1.积极做好清明节、中元节文明祭祀工作。</w:t>
      </w:r>
      <w:r>
        <w:rPr>
          <w:rFonts w:hint="eastAsia" w:ascii="仿宋_GB2312" w:hAnsi="仿宋_GB2312" w:eastAsia="仿宋_GB2312" w:cs="仿宋_GB2312"/>
          <w:sz w:val="32"/>
          <w:szCs w:val="32"/>
          <w:lang w:val="en-US" w:eastAsia="zh-CN"/>
        </w:rPr>
        <w:t>继续做好清明、中元等传统节日期间的文明祭祀宣传、组织、引导工作，严格落实禁燃禁放相关规定。例行开展全市殡葬服务机构安全消防演练和鲜花换纸钱等活动。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auto"/>
          <w:kern w:val="2"/>
          <w:sz w:val="32"/>
          <w:szCs w:val="32"/>
          <w:lang w:val="en-US" w:eastAsia="zh-CN" w:bidi="ar-SA"/>
        </w:rPr>
        <w:t>2.有序开展广元市经营性公墓2023年度检查工作。</w:t>
      </w:r>
      <w:r>
        <w:rPr>
          <w:rFonts w:hint="eastAsia" w:ascii="仿宋_GB2312" w:hAnsi="仿宋_GB2312" w:eastAsia="仿宋_GB2312" w:cs="仿宋_GB2312"/>
          <w:sz w:val="32"/>
          <w:szCs w:val="32"/>
          <w:lang w:val="en-US" w:eastAsia="zh-CN"/>
        </w:rPr>
        <w:t>根据《广元市经营性公墓年度检查实施办法（试行）》规定，有序开展广元市经营性公墓2023年度检查工作，并向社会公示年检结果。</w:t>
      </w:r>
    </w:p>
    <w:p>
      <w:pPr>
        <w:pStyle w:val="17"/>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3.继续推进殡葬宣传工作。</w:t>
      </w:r>
      <w:r>
        <w:rPr>
          <w:rFonts w:hint="eastAsia" w:ascii="仿宋_GB2312" w:hAnsi="仿宋_GB2312" w:eastAsia="仿宋_GB2312" w:cs="仿宋_GB2312"/>
          <w:color w:val="auto"/>
          <w:kern w:val="2"/>
          <w:sz w:val="32"/>
          <w:szCs w:val="32"/>
          <w:lang w:val="en-US" w:eastAsia="zh-CN" w:bidi="ar-SA"/>
        </w:rPr>
        <w:t>制定年度宣传计划，下沉社区、乡镇、服务机构，积极指导开展殡葬政策宣传、殡葬服务信息供给、协助居民办理丧事等服务。创新宣传方式，打破思想桎梏，制作城乡困难群众殡葬救助政策宣传片，争取将殡葬政策传播到每家每户，扩大群众知晓面。</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4.履行好对市殡仪馆的监管职责。</w:t>
      </w:r>
      <w:r>
        <w:rPr>
          <w:rFonts w:hint="eastAsia" w:ascii="仿宋_GB2312" w:hAnsi="仿宋_GB2312" w:eastAsia="仿宋_GB2312" w:cs="仿宋_GB2312"/>
          <w:color w:val="auto"/>
          <w:kern w:val="2"/>
          <w:sz w:val="32"/>
          <w:szCs w:val="32"/>
          <w:lang w:val="en-US" w:eastAsia="zh-CN" w:bidi="ar-SA"/>
        </w:rPr>
        <w:t>继续加强与广元龙德殡仪服务公司的沟通交流，落实殡仪馆原事业退休人员年终生活补贴发放工作，摸清殡葬服务项目内涵，做好殡葬服务项目分类，持续加强殡葬服务质量、群众投诉、退休职工信访等日常监管工作，督促落实惠民殡葬政策，凸显公益属性。</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auto"/>
          <w:kern w:val="2"/>
          <w:sz w:val="32"/>
          <w:szCs w:val="32"/>
          <w:lang w:val="en-US" w:eastAsia="zh-CN" w:bidi="ar-SA"/>
        </w:rPr>
        <w:t>5.加强公益性公墓的监管。</w:t>
      </w:r>
      <w:r>
        <w:rPr>
          <w:rFonts w:hint="eastAsia" w:ascii="仿宋_GB2312" w:hAnsi="仿宋_GB2312" w:eastAsia="仿宋_GB2312" w:cs="仿宋_GB2312"/>
          <w:sz w:val="32"/>
          <w:szCs w:val="32"/>
          <w:lang w:val="en-US" w:eastAsia="zh-CN"/>
        </w:rPr>
        <w:t>为避免农村公益性公墓顶着“公益性”的帽子走“经营性”的路子，规范</w:t>
      </w:r>
      <w:r>
        <w:rPr>
          <w:rFonts w:hint="default"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lang w:val="en-US" w:eastAsia="zh-CN"/>
        </w:rPr>
        <w:t>农村</w:t>
      </w:r>
      <w:r>
        <w:rPr>
          <w:rFonts w:hint="default" w:ascii="仿宋_GB2312" w:hAnsi="仿宋_GB2312" w:eastAsia="仿宋_GB2312" w:cs="仿宋_GB2312"/>
          <w:sz w:val="32"/>
          <w:szCs w:val="32"/>
          <w:lang w:val="en-US" w:eastAsia="zh-CN"/>
        </w:rPr>
        <w:t>公益性公墓的收费行为，减轻群众丧葬负担。</w:t>
      </w:r>
      <w:r>
        <w:rPr>
          <w:rFonts w:hint="eastAsia" w:ascii="仿宋_GB2312" w:hAnsi="仿宋_GB2312" w:eastAsia="仿宋_GB2312" w:cs="仿宋_GB2312"/>
          <w:sz w:val="32"/>
          <w:szCs w:val="32"/>
          <w:lang w:val="en-US" w:eastAsia="zh-CN"/>
        </w:rPr>
        <w:t>会同相关部门出台农村公益性公墓实行最高限价的收费文件，遏制公墓经营者过度逐利行为，体现公益属性，维护人民群众的合法权益。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auto"/>
          <w:kern w:val="2"/>
          <w:sz w:val="32"/>
          <w:szCs w:val="32"/>
          <w:lang w:val="en-US" w:eastAsia="zh-CN" w:bidi="ar-SA"/>
        </w:rPr>
        <w:t>6.加强党风廉政建设。</w:t>
      </w:r>
      <w:r>
        <w:rPr>
          <w:rFonts w:hint="eastAsia" w:ascii="仿宋_GB2312" w:hAnsi="仿宋_GB2312" w:eastAsia="仿宋_GB2312" w:cs="仿宋_GB2312"/>
          <w:sz w:val="32"/>
          <w:szCs w:val="32"/>
          <w:lang w:val="en-US" w:eastAsia="zh-CN"/>
        </w:rPr>
        <w:t>认真学习贯彻落实党的路线方针政策和市委、市政府及局党组、驻局大纪检组关于党风廉政建设的部署和要求，组织、推进本单位党风廉政建设和反腐败工作。加强对中共广元市委办公室、市政府办公室印发《市级部门单位“过紧日子”十三条措施》等政策学习，筑牢廉政防线，做干净忠诚担当的民政干部。</w:t>
      </w:r>
    </w:p>
    <w:p>
      <w:pPr>
        <w:pStyle w:val="17"/>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7.强化殡葬档案管理。</w:t>
      </w:r>
      <w:r>
        <w:rPr>
          <w:rFonts w:hint="eastAsia" w:ascii="仿宋_GB2312" w:hAnsi="仿宋_GB2312" w:eastAsia="仿宋_GB2312" w:cs="仿宋_GB2312"/>
          <w:color w:val="auto"/>
          <w:kern w:val="2"/>
          <w:sz w:val="32"/>
          <w:szCs w:val="32"/>
          <w:lang w:val="en-US" w:eastAsia="zh-CN" w:bidi="ar-SA"/>
        </w:rPr>
        <w:t>根据民政部印发《殡葬服务单位业务档案管理办法》，收集和保存相关档案资料，开展业务档案专项检查指导，规范全市殡葬服务机构档案管理，落实各殡葬服务机构主体责任，保障丧属合法权益。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val="en-US" w:eastAsia="zh-CN"/>
        </w:rPr>
      </w:pPr>
      <w:bookmarkStart w:id="3" w:name="_Toc47942729"/>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我单位为广元市民政局的下属二级预算单位，本单位无下属机构，设有内设机构4</w:t>
      </w:r>
      <w:bookmarkStart w:id="25" w:name="_GoBack"/>
      <w:bookmarkEnd w:id="25"/>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4" w:name="_Toc1980986896"/>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广元市殡葬管理所所有收入和支出均纳入部门预算管理。收入包括：一般公共预算拨款收入；支出包括：社会保障和就业支出、卫生健康支出、住房保障支出。广元市殡葬管理所2024年收支预算总数201.22万元，比2023年收支预算总数减少0.1万元，主要原因是扣减特定项目经费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1091509819"/>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广元市殡葬管理所2024年收入预算201.22万元，其中：一般公共预算拨款收入201.22万元，占100%。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335957015"/>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广元市殡葬管理所2024年支出预算201.22万元，其中：基本支出126.14万元，占62.69%；项目支出75.08万元，占37.32%。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7" w:name="_Toc59605568"/>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广元市殡葬管理所2024年财政拨款收支预算总数201.22万元，比2023年财政拨款收支预算总数减少0.1万元，主要原因是扣减特定项目经费预算。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收入包括：本年一般公共预算拨款收入201.22万元；支出包括：社会保障和就业支出187.92万元、卫生健康支出3.58万元、住房保障支出9.72万元。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val="en-US" w:eastAsia="zh-CN"/>
        </w:rPr>
      </w:pPr>
      <w:bookmarkStart w:id="8" w:name="_Toc2029512350"/>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252140867"/>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广元市殡葬管理所2024年一般公共预算当年拨款201.22万元，比2023年预算数减少0.1万元，主要原因是扣减特定项目经费预算。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421009222"/>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社会保障和就业支出187.92万元，占93.39%；卫生健康支出3.58万元，占1.78%；住房保障支出9.72万元，占4.83%。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1749045671"/>
      <w:r>
        <w:rPr>
          <w:rFonts w:hint="eastAsia" w:ascii="楷体_GB2312" w:hAnsi="楷体_GB2312" w:eastAsia="楷体_GB2312" w:cs="楷体_GB2312"/>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1.社会保障和就业（类）行政事业单位养老支出（款）机关事业单位基本养老保险缴费支出（项）2024年预算数为11.18万元，主要用于：实施养老保险制度由单位缴纳的基本养老保险支出。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Hans"/>
        </w:rPr>
        <w:t>社会保障和就业（类）</w:t>
      </w:r>
      <w:r>
        <w:rPr>
          <w:rFonts w:hint="eastAsia" w:ascii="仿宋_GB2312" w:hAnsi="仿宋_GB2312" w:eastAsia="仿宋_GB2312" w:cs="仿宋_GB2312"/>
          <w:sz w:val="32"/>
          <w:szCs w:val="32"/>
          <w:lang w:val="en-US" w:eastAsia="zh-CN"/>
        </w:rPr>
        <w:t>社会福利（</w:t>
      </w:r>
      <w:r>
        <w:rPr>
          <w:rFonts w:hint="eastAsia" w:ascii="仿宋_GB2312" w:hAnsi="仿宋_GB2312" w:eastAsia="仿宋_GB2312" w:cs="仿宋_GB2312"/>
          <w:sz w:val="32"/>
          <w:szCs w:val="32"/>
          <w:lang w:val="en-US" w:eastAsia="zh-Hans"/>
        </w:rPr>
        <w:t>款）</w:t>
      </w:r>
      <w:r>
        <w:rPr>
          <w:rFonts w:hint="eastAsia" w:ascii="仿宋_GB2312" w:hAnsi="仿宋_GB2312" w:eastAsia="仿宋_GB2312" w:cs="仿宋_GB2312"/>
          <w:sz w:val="32"/>
          <w:szCs w:val="32"/>
          <w:lang w:val="en-US" w:eastAsia="zh-CN"/>
        </w:rPr>
        <w:t>殡葬</w:t>
      </w:r>
      <w:r>
        <w:rPr>
          <w:rFonts w:hint="eastAsia" w:ascii="仿宋_GB2312" w:hAnsi="仿宋_GB2312" w:eastAsia="仿宋_GB2312" w:cs="仿宋_GB2312"/>
          <w:sz w:val="32"/>
          <w:szCs w:val="32"/>
          <w:lang w:val="en-US" w:eastAsia="zh-Hans"/>
        </w:rPr>
        <w:t>（项）</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Hans"/>
        </w:rPr>
        <w:t>预算数为</w:t>
      </w:r>
      <w:r>
        <w:rPr>
          <w:rFonts w:hint="eastAsia" w:ascii="仿宋_GB2312" w:hAnsi="仿宋_GB2312" w:eastAsia="仿宋_GB2312" w:cs="仿宋_GB2312"/>
          <w:sz w:val="32"/>
          <w:szCs w:val="32"/>
          <w:lang w:val="en-US" w:eastAsia="zh-CN"/>
        </w:rPr>
        <w:t>176.39</w:t>
      </w:r>
      <w:r>
        <w:rPr>
          <w:rFonts w:hint="eastAsia" w:ascii="仿宋_GB2312" w:hAnsi="仿宋_GB2312" w:eastAsia="仿宋_GB2312" w:cs="仿宋_GB2312"/>
          <w:sz w:val="32"/>
          <w:szCs w:val="32"/>
          <w:lang w:val="en-US" w:eastAsia="zh-Hans"/>
        </w:rPr>
        <w:t>万元</w:t>
      </w:r>
      <w:r>
        <w:rPr>
          <w:rFonts w:hint="eastAsia" w:ascii="仿宋_GB2312" w:hAnsi="仿宋_GB2312" w:eastAsia="仿宋_GB2312" w:cs="仿宋_GB2312"/>
          <w:sz w:val="32"/>
          <w:szCs w:val="32"/>
          <w:lang w:val="en-US" w:eastAsia="zh-CN"/>
        </w:rPr>
        <w:t>，主要用于： 无名和疑难尸体火化，处理殡仪馆遗留问题，殡葬执法宣传、火化证及安葬证印制等殡葬工作，殡葬救助及殡管所乡村振兴经费。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3.社会保障和就业（类）其他社会保障和就业支出 （款）其他社会保障和就业支出（项）2024年预算数为0.36万元，主要用于：事业单位按规定由单位缴纳的失业、工伤保险。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4.卫生健康（类）行政事业单位医疗（款）事业单位医疗（项）2024年预算数为3.58万元，主要用于：事业单位按规定由单位缴纳的基本医疗保险支出。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5.住房保障（类）住房改革支出（款）住房公积金（项）2024年预算数为9.72万元，主要用于：事业单位按规定为职工缴纳的住房公积金支出。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12" w:name="_Toc387110328"/>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广元市殡葬管理所2024年一般公共预算基本支出126.14万元，其中：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人员经费114.63万元，主要包括：基本工资、津贴补贴、奖金、绩效工资、社会保险缴费、住房公积金、生活补助等支出。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公用经费11.51万元，主要包括：办公费、邮电费、物业管理费、差旅费、公务接待费、工会经费、福利费、</w:t>
      </w:r>
      <w:r>
        <w:rPr>
          <w:rFonts w:hint="default"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lang w:val="en-US" w:eastAsia="zh-CN"/>
        </w:rPr>
        <w:t>等支出。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13" w:name="_Toc132365369"/>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广元市殡葬管理所2024年“三公”经费财政拨款预算数0.16万元，其中：公务接待费0.16万元，公务用车购置及运行维护费0万元，因公出国（境）经费0万元。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1846869078"/>
      <w:r>
        <w:rPr>
          <w:rFonts w:hint="eastAsia" w:ascii="楷体_GB2312" w:hAnsi="楷体_GB2312" w:eastAsia="楷体_GB2312" w:cs="楷体_GB2312"/>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321501493"/>
      <w:r>
        <w:rPr>
          <w:rFonts w:hint="eastAsia" w:ascii="楷体_GB2312" w:hAnsi="楷体_GB2312" w:eastAsia="楷体_GB2312" w:cs="楷体_GB2312"/>
          <w:sz w:val="32"/>
          <w:szCs w:val="32"/>
          <w:lang w:val="en-US" w:eastAsia="zh-CN"/>
        </w:rPr>
        <w:t>公务用车购置及运行维护费</w:t>
      </w:r>
      <w:bookmarkEnd w:id="1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公务用车购置及运行维护费与2023年预算持平。单位现有公务用车0辆，2024年未安排公务用车购置及运行维护费。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16" w:name="_Toc809730983"/>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因公出国（境）经费与2023年预算相比持平，2024年未安排因公出国（境）经费。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val="en-US" w:eastAsia="zh-CN"/>
        </w:rPr>
      </w:pPr>
      <w:bookmarkStart w:id="17" w:name="_Toc1174459164"/>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val="en-US" w:eastAsia="zh-CN"/>
        </w:rPr>
      </w:pPr>
      <w:bookmarkStart w:id="18" w:name="_Toc1758412248"/>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广元市殡葬管理所2024年无国有资本经营预算拨款安排的支出。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19" w:name="_Toc1001230658"/>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1702194178"/>
      <w:r>
        <w:rPr>
          <w:rFonts w:hint="eastAsia" w:ascii="楷体_GB2312" w:hAnsi="楷体_GB2312" w:eastAsia="楷体_GB2312" w:cs="楷体_GB2312"/>
          <w:sz w:val="32"/>
          <w:szCs w:val="32"/>
          <w:lang w:val="en-US" w:eastAsia="zh-CN"/>
        </w:rPr>
        <w:t>（一）机关运行经费</w:t>
      </w:r>
      <w:bookmarkEnd w:id="20"/>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广元市殡葬管理所</w:t>
      </w:r>
      <w:r>
        <w:rPr>
          <w:rFonts w:hint="default" w:ascii="仿宋_GB2312" w:hAnsi="仿宋_GB2312" w:eastAsia="仿宋_GB2312" w:cs="仿宋_GB2312"/>
          <w:sz w:val="32"/>
          <w:szCs w:val="32"/>
          <w:lang w:eastAsia="zh-CN"/>
        </w:rPr>
        <w:t>为</w:t>
      </w:r>
      <w:r>
        <w:rPr>
          <w:rFonts w:hint="default" w:ascii="仿宋_GB2312" w:hAnsi="仿宋_GB2312" w:eastAsia="仿宋_GB2312" w:cs="仿宋_GB2312"/>
          <w:sz w:val="32"/>
          <w:szCs w:val="32"/>
          <w:lang w:val="en-US" w:eastAsia="zh-CN"/>
        </w:rPr>
        <w:t>事业单位，按规定未使用机关运行的相关科目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34994720"/>
      <w:r>
        <w:rPr>
          <w:rFonts w:hint="eastAsia" w:ascii="楷体_GB2312" w:hAnsi="楷体_GB2312" w:eastAsia="楷体_GB2312" w:cs="楷体_GB2312"/>
          <w:sz w:val="32"/>
          <w:szCs w:val="32"/>
          <w:lang w:val="en-US" w:eastAsia="zh-CN"/>
        </w:rPr>
        <w:t>（二）政府采购情况</w:t>
      </w:r>
      <w:bookmarkEnd w:id="2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2024年，广元市殡葬管理所安排政府采购预算0万元。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575540106"/>
      <w:r>
        <w:rPr>
          <w:rFonts w:hint="eastAsia" w:ascii="楷体_GB2312" w:hAnsi="楷体_GB2312" w:eastAsia="楷体_GB2312" w:cs="楷体_GB2312"/>
          <w:sz w:val="32"/>
          <w:szCs w:val="32"/>
          <w:lang w:val="en-US" w:eastAsia="zh-CN"/>
        </w:rPr>
        <w:t>（三）国有资产占有使用情况</w:t>
      </w:r>
      <w:bookmarkEnd w:id="2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截至2023年底，广元市殡葬管理所共有车辆0辆。单位无价值200万元以上的大型设备。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楷体_GB2312" w:hAnsi="楷体_GB2312" w:eastAsia="楷体_GB2312" w:cs="楷体_GB2312"/>
          <w:sz w:val="32"/>
          <w:szCs w:val="32"/>
        </w:rPr>
      </w:pPr>
      <w:bookmarkStart w:id="23" w:name="_Toc1035158936"/>
      <w:r>
        <w:rPr>
          <w:rFonts w:hint="eastAsia" w:ascii="楷体_GB2312" w:hAnsi="楷体_GB2312" w:eastAsia="楷体_GB2312" w:cs="楷体_GB2312"/>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2024年广元市殡葬管理所开展绩效目标管理的项目13个，涉及预算201.22万元。其中：人员类项目5个，涉及预算114.63万元；运转类项目3个，涉及预算11.51万元；特定目标类项目5个，涉及预算75.08万元。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bookmarkStart w:id="24" w:name="_Toc352604153"/>
      <w:r>
        <w:rPr>
          <w:rFonts w:hint="eastAsia" w:ascii="黑体" w:hAnsi="黑体" w:eastAsia="黑体" w:cs="黑体"/>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sz w:val="32"/>
          <w:szCs w:val="32"/>
          <w:lang w:val="en-US" w:eastAsia="zh-CN"/>
        </w:rPr>
        <w:t>（三）社</w:t>
      </w:r>
      <w:r>
        <w:rPr>
          <w:rFonts w:hint="eastAsia" w:ascii="楷体_GB2312" w:hAnsi="楷体_GB2312" w:eastAsia="楷体_GB2312" w:cs="楷体_GB2312"/>
          <w:color w:val="auto"/>
          <w:kern w:val="2"/>
          <w:sz w:val="32"/>
          <w:szCs w:val="32"/>
          <w:lang w:val="en-US" w:eastAsia="zh-CN" w:bidi="ar-SA"/>
        </w:rPr>
        <w:t>会保障和就业（类）社会福利（</w:t>
      </w:r>
      <w:r>
        <w:rPr>
          <w:rFonts w:hint="eastAsia" w:ascii="楷体_GB2312" w:hAnsi="楷体_GB2312" w:eastAsia="楷体_GB2312" w:cs="楷体_GB2312"/>
          <w:color w:val="auto"/>
          <w:kern w:val="2"/>
          <w:sz w:val="32"/>
          <w:szCs w:val="32"/>
          <w:lang w:val="en-US" w:eastAsia="zh-Hans" w:bidi="ar-SA"/>
        </w:rPr>
        <w:t>款）</w:t>
      </w:r>
      <w:r>
        <w:rPr>
          <w:rFonts w:hint="eastAsia" w:ascii="楷体_GB2312" w:hAnsi="楷体_GB2312" w:eastAsia="楷体_GB2312" w:cs="楷体_GB2312"/>
          <w:color w:val="auto"/>
          <w:kern w:val="2"/>
          <w:sz w:val="32"/>
          <w:szCs w:val="32"/>
          <w:lang w:val="en-US" w:eastAsia="zh-CN" w:bidi="ar-SA"/>
        </w:rPr>
        <w:t>殡葬</w:t>
      </w:r>
      <w:r>
        <w:rPr>
          <w:rFonts w:hint="eastAsia" w:ascii="楷体_GB2312" w:hAnsi="楷体_GB2312" w:eastAsia="楷体_GB2312" w:cs="楷体_GB2312"/>
          <w:color w:val="auto"/>
          <w:kern w:val="2"/>
          <w:sz w:val="32"/>
          <w:szCs w:val="32"/>
          <w:lang w:val="en-US" w:eastAsia="zh-Hans" w:bidi="ar-SA"/>
        </w:rPr>
        <w:t>（项）</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color w:val="auto"/>
          <w:kern w:val="2"/>
          <w:sz w:val="32"/>
          <w:szCs w:val="32"/>
          <w:lang w:val="en-US" w:eastAsia="zh-CN" w:bidi="ar-SA"/>
        </w:rPr>
        <w:t>指广元市殡葬管理所用于保障机构正常运行，开展殡葬管理和殡葬服务方面支出与殡葬救助、殡葬执法宣传和火化证及安葬证印制等殡葬工作经费、无名和疑难尸体火化、处理殡仪馆遗留问题等支出。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68"/>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_GB2312" w:hAnsi="仿宋_GB2312" w:eastAsia="仿宋_GB2312" w:cs="仿宋_GB2312"/>
          <w:sz w:val="32"/>
          <w:szCs w:val="32"/>
          <w:lang w:val="en-US" w:eastAsia="zh-CN"/>
        </w:rPr>
        <w:t>指由单位缴纳的失业、工伤保险等支出。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68"/>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预算公开表</w:t>
      </w: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CF99B6-3448-4533-AE97-98F64AE778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6D7B442A-4789-4B15-A905-60CDC0E6611B}"/>
  </w:font>
  <w:font w:name="仿宋">
    <w:panose1 w:val="02010609060101010101"/>
    <w:charset w:val="86"/>
    <w:family w:val="auto"/>
    <w:pitch w:val="default"/>
    <w:sig w:usb0="800002BF" w:usb1="38CF7CFA" w:usb2="00000016" w:usb3="00000000" w:csb0="00040001" w:csb1="00000000"/>
    <w:embedRegular r:id="rId3" w:fontKey="{45FEA1BF-4A34-4872-9661-C35464F1F756}"/>
  </w:font>
  <w:font w:name="楷体">
    <w:panose1 w:val="02010609060101010101"/>
    <w:charset w:val="86"/>
    <w:family w:val="auto"/>
    <w:pitch w:val="default"/>
    <w:sig w:usb0="800002BF" w:usb1="38CF7CFA" w:usb2="00000016" w:usb3="00000000" w:csb0="00040001" w:csb1="00000000"/>
    <w:embedRegular r:id="rId4" w:fontKey="{B37BAF10-0438-4B6C-A8DC-17E0282B23CF}"/>
  </w:font>
  <w:font w:name="楷体_GB2312">
    <w:altName w:val="楷体"/>
    <w:panose1 w:val="02010609030101010101"/>
    <w:charset w:val="86"/>
    <w:family w:val="auto"/>
    <w:pitch w:val="default"/>
    <w:sig w:usb0="00000000" w:usb1="00000000" w:usb2="00000000" w:usb3="00000000" w:csb0="00040000" w:csb1="00000000"/>
    <w:embedRegular r:id="rId5" w:fontKey="{4F8288A1-F092-466B-AE56-E3A8DF41897A}"/>
  </w:font>
  <w:font w:name="仿宋_GB2312">
    <w:altName w:val="仿宋"/>
    <w:panose1 w:val="02010609030101010101"/>
    <w:charset w:val="86"/>
    <w:family w:val="auto"/>
    <w:pitch w:val="default"/>
    <w:sig w:usb0="00000000" w:usb1="00000000" w:usb2="00000000" w:usb3="00000000" w:csb0="00040000" w:csb1="00000000"/>
    <w:embedRegular r:id="rId6" w:fontKey="{19715F3C-6749-47E7-AB85-66148705D68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NiNzI3YjUyMWFkNTdkMjZiZGFiZDBiYjIyNDgifQ=="/>
  </w:docVars>
  <w:rsids>
    <w:rsidRoot w:val="00000000"/>
    <w:rsid w:val="012352D1"/>
    <w:rsid w:val="18AA0265"/>
    <w:rsid w:val="1D9F113A"/>
    <w:rsid w:val="1F7BF06F"/>
    <w:rsid w:val="1F7E5822"/>
    <w:rsid w:val="1FEE4B73"/>
    <w:rsid w:val="23CE9849"/>
    <w:rsid w:val="27B958EF"/>
    <w:rsid w:val="3566DADF"/>
    <w:rsid w:val="372799D5"/>
    <w:rsid w:val="39F304DD"/>
    <w:rsid w:val="3F7F56A1"/>
    <w:rsid w:val="426C3C0E"/>
    <w:rsid w:val="50416722"/>
    <w:rsid w:val="54244390"/>
    <w:rsid w:val="54662A63"/>
    <w:rsid w:val="58064E12"/>
    <w:rsid w:val="593C03CE"/>
    <w:rsid w:val="5B9EFC67"/>
    <w:rsid w:val="5BFEE015"/>
    <w:rsid w:val="5F6B9473"/>
    <w:rsid w:val="63EDCF55"/>
    <w:rsid w:val="63FBFBCF"/>
    <w:rsid w:val="669360FD"/>
    <w:rsid w:val="68FF6A83"/>
    <w:rsid w:val="6AEF6005"/>
    <w:rsid w:val="6D9E649C"/>
    <w:rsid w:val="6E3DB48E"/>
    <w:rsid w:val="6FBBC9CF"/>
    <w:rsid w:val="6FBE5AC6"/>
    <w:rsid w:val="72BDE561"/>
    <w:rsid w:val="78462278"/>
    <w:rsid w:val="7997EA6C"/>
    <w:rsid w:val="799C5A65"/>
    <w:rsid w:val="7AEAE675"/>
    <w:rsid w:val="7BAFCE5D"/>
    <w:rsid w:val="7D46598C"/>
    <w:rsid w:val="7D9F8F0F"/>
    <w:rsid w:val="7DFB240B"/>
    <w:rsid w:val="7DFE05E7"/>
    <w:rsid w:val="7E0935ED"/>
    <w:rsid w:val="7FCF2AF7"/>
    <w:rsid w:val="9FEF033D"/>
    <w:rsid w:val="A27FF1E5"/>
    <w:rsid w:val="AF3FEDDD"/>
    <w:rsid w:val="AFDEB5A7"/>
    <w:rsid w:val="AFEA7FBF"/>
    <w:rsid w:val="B83F4767"/>
    <w:rsid w:val="BF930F07"/>
    <w:rsid w:val="BFCE8436"/>
    <w:rsid w:val="C3F7EB7A"/>
    <w:rsid w:val="CFF5FEEC"/>
    <w:rsid w:val="D3DD9064"/>
    <w:rsid w:val="D6F76A0C"/>
    <w:rsid w:val="D7ECE8D2"/>
    <w:rsid w:val="DFDD4FB5"/>
    <w:rsid w:val="DFFBF6C9"/>
    <w:rsid w:val="E7F748B5"/>
    <w:rsid w:val="EE5F3713"/>
    <w:rsid w:val="EFC9D62C"/>
    <w:rsid w:val="F6BE9755"/>
    <w:rsid w:val="F6FFA89B"/>
    <w:rsid w:val="F88D0DC7"/>
    <w:rsid w:val="FAE4EFE1"/>
    <w:rsid w:val="FB9B6F12"/>
    <w:rsid w:val="FBB66A4A"/>
    <w:rsid w:val="FDEE6989"/>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next w:val="4"/>
    <w:qFormat/>
    <w:uiPriority w:val="0"/>
    <w:pPr>
      <w:spacing w:before="0" w:after="140" w:line="276" w:lineRule="auto"/>
    </w:p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List"/>
    <w:basedOn w:val="3"/>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paragraph" w:styleId="11">
    <w:name w:val="Body Text First Indent 2"/>
    <w:basedOn w:val="5"/>
    <w:qFormat/>
    <w:uiPriority w:val="99"/>
    <w:pPr>
      <w:ind w:firstLine="420" w:firstLineChars="200"/>
    </w:pPr>
    <w:rPr>
      <w:kern w:val="0"/>
      <w:sz w:val="20"/>
      <w:szCs w:val="22"/>
    </w:rPr>
  </w:style>
  <w:style w:type="character" w:customStyle="1" w:styleId="14">
    <w:name w:val="默认段落字体1"/>
    <w:qFormat/>
    <w:uiPriority w:val="0"/>
  </w:style>
  <w:style w:type="paragraph" w:customStyle="1" w:styleId="15">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 w:type="paragraph" w:customStyle="1" w:styleId="17">
    <w:name w:val="常用样式（方正仿宋简）"/>
    <w:basedOn w:val="1"/>
    <w:qFormat/>
    <w:uiPriority w:val="0"/>
    <w:pPr>
      <w:spacing w:line="560" w:lineRule="exact"/>
      <w:ind w:firstLine="640" w:firstLineChars="200"/>
    </w:pPr>
    <w:rPr>
      <w:rFonts w:eastAsia="方正仿宋简体"/>
      <w:sz w:val="32"/>
      <w:szCs w:val="32"/>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4</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admin</dc:creator>
  <cp:lastModifiedBy>开心摇摇头 </cp:lastModifiedBy>
  <dcterms:modified xsi:type="dcterms:W3CDTF">2024-03-01T02:13:37Z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