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color w:val="auto"/>
          <w:szCs w:val="21"/>
        </w:rPr>
      </w:pPr>
      <w:bookmarkStart w:id="0" w:name="_Toc15306267"/>
    </w:p>
    <w:p>
      <w:pPr>
        <w:spacing w:line="600" w:lineRule="exact"/>
        <w:jc w:val="center"/>
        <w:outlineLvl w:val="0"/>
        <w:rPr>
          <w:rFonts w:ascii="方正小标宋简体" w:hAnsi="宋体" w:eastAsia="方正小标宋简体"/>
          <w:color w:val="auto"/>
          <w:sz w:val="72"/>
          <w:szCs w:val="72"/>
        </w:rPr>
      </w:pPr>
    </w:p>
    <w:p>
      <w:pPr>
        <w:spacing w:line="600" w:lineRule="exact"/>
        <w:jc w:val="center"/>
        <w:outlineLvl w:val="0"/>
        <w:rPr>
          <w:rFonts w:ascii="方正小标宋简体" w:hAnsi="宋体" w:eastAsia="方正小标宋简体"/>
          <w:color w:val="auto"/>
          <w:sz w:val="72"/>
          <w:szCs w:val="72"/>
        </w:rPr>
      </w:pPr>
    </w:p>
    <w:p>
      <w:pPr>
        <w:adjustRightInd w:val="0"/>
        <w:snapToGrid w:val="0"/>
        <w:spacing w:line="360" w:lineRule="auto"/>
        <w:jc w:val="center"/>
        <w:outlineLvl w:val="0"/>
        <w:rPr>
          <w:rFonts w:ascii="方正小标宋简体" w:hAnsi="方正小标宋简体" w:eastAsia="方正小标宋简体" w:cs="方正小标宋简体"/>
          <w:color w:val="auto"/>
          <w:sz w:val="72"/>
          <w:szCs w:val="72"/>
        </w:rPr>
      </w:pPr>
      <w:bookmarkStart w:id="1" w:name="_Toc15378441"/>
      <w:bookmarkStart w:id="2" w:name="_Toc15377193"/>
      <w:bookmarkStart w:id="3" w:name="_Toc15396597"/>
      <w:bookmarkStart w:id="4" w:name="_Toc15396475"/>
      <w:bookmarkStart w:id="5" w:name="_Toc15377425"/>
      <w:r>
        <w:rPr>
          <w:rFonts w:hint="eastAsia" w:ascii="方正小标宋简体" w:hAnsi="方正小标宋简体" w:eastAsia="方正小标宋简体" w:cs="方正小标宋简体"/>
          <w:color w:val="auto"/>
          <w:sz w:val="72"/>
          <w:szCs w:val="72"/>
        </w:rPr>
        <w:t>2022年度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color w:val="auto"/>
          <w:sz w:val="72"/>
          <w:szCs w:val="72"/>
        </w:rPr>
      </w:pPr>
      <w:bookmarkStart w:id="6" w:name="_Toc15378442"/>
      <w:bookmarkStart w:id="7" w:name="_Toc15377426"/>
      <w:bookmarkStart w:id="8" w:name="_Toc15396476"/>
      <w:bookmarkStart w:id="9" w:name="_Toc15396598"/>
      <w:bookmarkStart w:id="10" w:name="_Toc15377194"/>
      <w:r>
        <w:rPr>
          <w:rFonts w:hint="eastAsia" w:ascii="方正小标宋简体" w:hAnsi="方正小标宋简体" w:eastAsia="方正小标宋简体" w:cs="方正小标宋简体"/>
          <w:color w:val="auto"/>
          <w:sz w:val="72"/>
          <w:szCs w:val="72"/>
        </w:rPr>
        <w:t>广元市</w:t>
      </w:r>
      <w:bookmarkEnd w:id="0"/>
      <w:bookmarkStart w:id="11" w:name="_Toc15306268"/>
      <w:r>
        <w:rPr>
          <w:rFonts w:hint="eastAsia" w:ascii="方正小标宋简体" w:hAnsi="方正小标宋简体" w:eastAsia="方正小标宋简体" w:cs="方正小标宋简体"/>
          <w:color w:val="auto"/>
          <w:sz w:val="72"/>
          <w:szCs w:val="72"/>
        </w:rPr>
        <w:t>救助管理站</w:t>
      </w:r>
    </w:p>
    <w:p>
      <w:pPr>
        <w:adjustRightInd w:val="0"/>
        <w:snapToGrid w:val="0"/>
        <w:spacing w:line="360" w:lineRule="auto"/>
        <w:jc w:val="center"/>
        <w:outlineLvl w:val="0"/>
        <w:rPr>
          <w:rFonts w:ascii="方正小标宋简体" w:hAnsi="方正小标宋简体" w:eastAsia="方正小标宋简体" w:cs="方正小标宋简体"/>
          <w:color w:val="auto"/>
          <w:sz w:val="72"/>
          <w:szCs w:val="72"/>
        </w:rPr>
      </w:pPr>
      <w:r>
        <w:rPr>
          <w:rFonts w:hint="eastAsia" w:ascii="方正小标宋简体" w:hAnsi="方正小标宋简体" w:eastAsia="方正小标宋简体" w:cs="方正小标宋简体"/>
          <w:color w:val="auto"/>
          <w:sz w:val="72"/>
          <w:szCs w:val="72"/>
        </w:rPr>
        <w:t>单位决算</w:t>
      </w:r>
      <w:bookmarkEnd w:id="6"/>
      <w:bookmarkEnd w:id="7"/>
      <w:bookmarkEnd w:id="8"/>
      <w:bookmarkEnd w:id="9"/>
      <w:bookmarkEnd w:id="10"/>
      <w:bookmarkEnd w:id="11"/>
    </w:p>
    <w:p>
      <w:pPr>
        <w:widowControl/>
        <w:jc w:val="center"/>
        <w:rPr>
          <w:rFonts w:hint="eastAsia" w:ascii="黑体" w:hAnsi="黑体" w:eastAsia="黑体"/>
          <w:color w:val="auto"/>
          <w:sz w:val="48"/>
          <w:szCs w:val="48"/>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pPr>
        <w:widowControl/>
        <w:jc w:val="center"/>
        <w:rPr>
          <w:rFonts w:ascii="黑体" w:hAnsi="黑体" w:eastAsia="黑体" w:cstheme="minorBidi"/>
          <w:color w:val="auto"/>
          <w:sz w:val="28"/>
          <w:szCs w:val="28"/>
        </w:rPr>
      </w:pPr>
      <w:r>
        <w:rPr>
          <w:rFonts w:hint="eastAsia" w:ascii="黑体" w:hAnsi="黑体" w:eastAsia="黑体"/>
          <w:color w:val="auto"/>
          <w:sz w:val="48"/>
          <w:szCs w:val="48"/>
        </w:rPr>
        <w:t>目录</w:t>
      </w:r>
    </w:p>
    <w:p>
      <w:pPr>
        <w:pStyle w:val="10"/>
        <w:rPr>
          <w:color w:val="auto"/>
        </w:rPr>
      </w:pPr>
      <w:r>
        <w:rPr>
          <w:rFonts w:hint="eastAsia"/>
          <w:color w:val="auto"/>
        </w:rPr>
        <w:t>公开时间：2023年10 月1</w:t>
      </w:r>
      <w:r>
        <w:rPr>
          <w:rFonts w:hint="eastAsia"/>
          <w:color w:val="auto"/>
          <w:lang w:val="en-US" w:eastAsia="zh-CN"/>
        </w:rPr>
        <w:t>6</w:t>
      </w:r>
      <w:r>
        <w:rPr>
          <w:rFonts w:hint="eastAsia"/>
          <w:color w:val="auto"/>
        </w:rPr>
        <w:t xml:space="preserve"> 日</w:t>
      </w:r>
    </w:p>
    <w:p>
      <w:pPr>
        <w:rPr>
          <w:color w:val="auto"/>
        </w:rPr>
      </w:pPr>
    </w:p>
    <w:p>
      <w:pPr>
        <w:pStyle w:val="10"/>
        <w:pageBreakBefore w:val="0"/>
        <w:widowControl w:val="0"/>
        <w:kinsoku/>
        <w:wordWrap/>
        <w:overflowPunct/>
        <w:topLinePunct w:val="0"/>
        <w:autoSpaceDE/>
        <w:autoSpaceDN/>
        <w:bidi w:val="0"/>
        <w:adjustRightInd w:val="0"/>
        <w:snapToGrid w:val="0"/>
        <w:spacing w:before="0" w:line="500" w:lineRule="exact"/>
        <w:jc w:val="left"/>
        <w:textAlignment w:val="auto"/>
        <w:rPr>
          <w:rFonts w:hint="eastAsia" w:ascii="黑体" w:hAnsi="黑体" w:eastAsia="黑体" w:cs="黑体"/>
          <w:b/>
          <w:bCs/>
          <w:color w:val="auto"/>
          <w:sz w:val="20"/>
          <w:szCs w:val="20"/>
          <w:lang w:eastAsia="zh-CN"/>
        </w:rPr>
      </w:pPr>
      <w:r>
        <w:rPr>
          <w:rFonts w:hint="eastAsia" w:ascii="黑体" w:hAnsi="黑体" w:eastAsia="黑体" w:cs="黑体"/>
          <w:b/>
          <w:bCs/>
          <w:color w:val="auto"/>
          <w:sz w:val="20"/>
          <w:szCs w:val="20"/>
        </w:rPr>
        <w:t>第一部分 单位概况 ........................................</w:t>
      </w:r>
      <w:r>
        <w:rPr>
          <w:rFonts w:hint="eastAsia" w:ascii="黑体" w:hAnsi="黑体" w:eastAsia="黑体" w:cs="黑体"/>
          <w:b/>
          <w:bCs/>
          <w:color w:val="auto"/>
          <w:sz w:val="20"/>
          <w:szCs w:val="20"/>
        </w:rPr>
        <w:t>...................................................................</w:t>
      </w:r>
      <w:r>
        <w:rPr>
          <w:rFonts w:hint="eastAsia" w:ascii="黑体" w:hAnsi="黑体" w:eastAsia="黑体" w:cs="黑体"/>
          <w:b/>
          <w:bCs/>
          <w:color w:val="auto"/>
          <w:sz w:val="20"/>
          <w:szCs w:val="20"/>
        </w:rPr>
        <w:t>.....</w:t>
      </w:r>
      <w:r>
        <w:rPr>
          <w:rFonts w:hint="eastAsia" w:ascii="黑体" w:hAnsi="黑体" w:eastAsia="黑体" w:cs="黑体"/>
          <w:b/>
          <w:bCs/>
          <w:color w:val="auto"/>
          <w:sz w:val="20"/>
          <w:szCs w:val="20"/>
          <w:lang w:val="en-US" w:eastAsia="zh-CN"/>
        </w:rPr>
        <w:t>1</w:t>
      </w:r>
    </w:p>
    <w:p>
      <w:pPr>
        <w:pStyle w:val="10"/>
        <w:pageBreakBefore w:val="0"/>
        <w:widowControl w:val="0"/>
        <w:kinsoku/>
        <w:wordWrap/>
        <w:overflowPunct/>
        <w:topLinePunct w:val="0"/>
        <w:autoSpaceDE/>
        <w:autoSpaceDN/>
        <w:bidi w:val="0"/>
        <w:adjustRightInd w:val="0"/>
        <w:snapToGrid w:val="0"/>
        <w:spacing w:before="0" w:line="500" w:lineRule="exact"/>
        <w:ind w:firstLine="400" w:firstLineChars="200"/>
        <w:jc w:val="left"/>
        <w:textAlignment w:val="auto"/>
        <w:rPr>
          <w:rFonts w:hint="eastAsia" w:ascii="黑体" w:hAnsi="黑体" w:eastAsia="黑体" w:cs="黑体"/>
          <w:color w:val="auto"/>
          <w:sz w:val="20"/>
          <w:szCs w:val="20"/>
          <w:lang w:eastAsia="zh-CN"/>
        </w:rPr>
      </w:pPr>
      <w:r>
        <w:rPr>
          <w:rFonts w:hint="eastAsia" w:ascii="黑体" w:hAnsi="黑体" w:eastAsia="黑体" w:cs="黑体"/>
          <w:color w:val="auto"/>
          <w:sz w:val="20"/>
          <w:szCs w:val="20"/>
        </w:rPr>
        <w:t>一、主要职责</w:t>
      </w:r>
      <w:r>
        <w:rPr>
          <w:rFonts w:hint="eastAsia" w:ascii="黑体" w:hAnsi="黑体" w:eastAsia="黑体" w:cs="黑体"/>
          <w:color w:val="auto"/>
          <w:sz w:val="20"/>
          <w:szCs w:val="20"/>
        </w:rPr>
        <w:t>......................................................................................................................</w:t>
      </w:r>
      <w:r>
        <w:rPr>
          <w:rFonts w:hint="eastAsia" w:ascii="黑体" w:hAnsi="黑体" w:eastAsia="黑体" w:cs="黑体"/>
          <w:color w:val="auto"/>
          <w:sz w:val="20"/>
          <w:szCs w:val="20"/>
          <w:lang w:val="en-US" w:eastAsia="zh-CN"/>
        </w:rPr>
        <w:t>1</w:t>
      </w:r>
    </w:p>
    <w:p>
      <w:pPr>
        <w:pStyle w:val="10"/>
        <w:pageBreakBefore w:val="0"/>
        <w:widowControl w:val="0"/>
        <w:kinsoku/>
        <w:wordWrap/>
        <w:overflowPunct/>
        <w:topLinePunct w:val="0"/>
        <w:autoSpaceDE/>
        <w:autoSpaceDN/>
        <w:bidi w:val="0"/>
        <w:adjustRightInd w:val="0"/>
        <w:snapToGrid w:val="0"/>
        <w:spacing w:before="0" w:line="500" w:lineRule="exact"/>
        <w:ind w:firstLine="400" w:firstLineChars="200"/>
        <w:jc w:val="left"/>
        <w:textAlignment w:val="auto"/>
        <w:rPr>
          <w:rFonts w:hint="eastAsia" w:ascii="黑体" w:hAnsi="黑体" w:eastAsia="黑体" w:cs="黑体"/>
          <w:color w:val="auto"/>
          <w:sz w:val="20"/>
          <w:szCs w:val="20"/>
          <w:lang w:eastAsia="zh-CN"/>
        </w:rPr>
      </w:pPr>
      <w:r>
        <w:rPr>
          <w:rFonts w:hint="eastAsia" w:ascii="黑体" w:hAnsi="黑体" w:eastAsia="黑体" w:cs="黑体"/>
          <w:color w:val="auto"/>
          <w:sz w:val="20"/>
          <w:szCs w:val="20"/>
        </w:rPr>
        <w:t>二、机构设置</w:t>
      </w:r>
      <w:r>
        <w:rPr>
          <w:rFonts w:hint="eastAsia" w:ascii="黑体" w:hAnsi="黑体" w:eastAsia="黑体" w:cs="黑体"/>
          <w:color w:val="auto"/>
          <w:sz w:val="20"/>
          <w:szCs w:val="20"/>
        </w:rPr>
        <w:t>......................................................................................................................</w:t>
      </w:r>
      <w:r>
        <w:rPr>
          <w:rFonts w:hint="eastAsia" w:ascii="黑体" w:hAnsi="黑体" w:eastAsia="黑体" w:cs="黑体"/>
          <w:color w:val="auto"/>
          <w:sz w:val="20"/>
          <w:szCs w:val="20"/>
          <w:lang w:val="en-US" w:eastAsia="zh-CN"/>
        </w:rPr>
        <w:t>1</w:t>
      </w:r>
    </w:p>
    <w:p>
      <w:pPr>
        <w:pStyle w:val="10"/>
        <w:pageBreakBefore w:val="0"/>
        <w:widowControl w:val="0"/>
        <w:kinsoku/>
        <w:wordWrap/>
        <w:overflowPunct/>
        <w:topLinePunct w:val="0"/>
        <w:autoSpaceDE/>
        <w:autoSpaceDN/>
        <w:bidi w:val="0"/>
        <w:adjustRightInd w:val="0"/>
        <w:snapToGrid w:val="0"/>
        <w:spacing w:before="0" w:line="500" w:lineRule="exact"/>
        <w:jc w:val="left"/>
        <w:textAlignment w:val="auto"/>
        <w:rPr>
          <w:rFonts w:hint="eastAsia" w:ascii="黑体" w:hAnsi="黑体" w:eastAsia="黑体" w:cs="黑体"/>
          <w:b/>
          <w:bCs/>
          <w:color w:val="auto"/>
          <w:sz w:val="20"/>
          <w:szCs w:val="20"/>
          <w:lang w:eastAsia="zh-CN"/>
        </w:rPr>
      </w:pPr>
      <w:r>
        <w:rPr>
          <w:rFonts w:hint="eastAsia" w:ascii="黑体" w:hAnsi="黑体" w:eastAsia="黑体" w:cs="黑体"/>
          <w:b/>
          <w:bCs/>
          <w:color w:val="auto"/>
          <w:sz w:val="20"/>
          <w:szCs w:val="20"/>
        </w:rPr>
        <w:t>第二部分 2022年度单位决算情况说明..............................</w:t>
      </w:r>
      <w:r>
        <w:rPr>
          <w:rFonts w:hint="eastAsia" w:ascii="黑体" w:hAnsi="黑体" w:eastAsia="黑体" w:cs="黑体"/>
          <w:b/>
          <w:bCs/>
          <w:color w:val="auto"/>
          <w:sz w:val="20"/>
          <w:szCs w:val="20"/>
        </w:rPr>
        <w:t>......................................................</w:t>
      </w:r>
      <w:r>
        <w:rPr>
          <w:rFonts w:hint="eastAsia" w:ascii="黑体" w:hAnsi="黑体" w:eastAsia="黑体" w:cs="黑体"/>
          <w:b/>
          <w:bCs/>
          <w:color w:val="auto"/>
          <w:sz w:val="20"/>
          <w:szCs w:val="20"/>
          <w:lang w:val="en-US" w:eastAsia="zh-CN"/>
        </w:rPr>
        <w:t>1</w:t>
      </w:r>
    </w:p>
    <w:p>
      <w:pPr>
        <w:pageBreakBefore w:val="0"/>
        <w:widowControl w:val="0"/>
        <w:kinsoku/>
        <w:wordWrap/>
        <w:overflowPunct/>
        <w:topLinePunct w:val="0"/>
        <w:autoSpaceDE/>
        <w:autoSpaceDN/>
        <w:bidi w:val="0"/>
        <w:spacing w:line="500" w:lineRule="exact"/>
        <w:ind w:firstLine="400" w:firstLineChars="200"/>
        <w:textAlignment w:val="auto"/>
        <w:rPr>
          <w:rFonts w:hint="eastAsia" w:ascii="黑体" w:hAnsi="黑体" w:eastAsia="黑体" w:cs="黑体"/>
          <w:color w:val="auto"/>
          <w:sz w:val="20"/>
          <w:szCs w:val="20"/>
          <w:lang w:eastAsia="zh-CN"/>
        </w:rPr>
      </w:pPr>
      <w:r>
        <w:rPr>
          <w:rFonts w:hint="eastAsia" w:ascii="黑体" w:hAnsi="黑体" w:eastAsia="黑体" w:cs="黑体"/>
          <w:color w:val="auto"/>
          <w:sz w:val="20"/>
          <w:szCs w:val="20"/>
        </w:rPr>
        <w:t>一、收入支出决算总体情况说明................................................................</w:t>
      </w:r>
      <w:r>
        <w:rPr>
          <w:rFonts w:hint="eastAsia" w:ascii="黑体" w:hAnsi="黑体" w:eastAsia="黑体" w:cs="黑体"/>
          <w:color w:val="auto"/>
          <w:sz w:val="20"/>
          <w:szCs w:val="20"/>
        </w:rPr>
        <w:t>.........................</w:t>
      </w:r>
      <w:r>
        <w:rPr>
          <w:rFonts w:hint="eastAsia" w:ascii="黑体" w:hAnsi="黑体" w:eastAsia="黑体" w:cs="黑体"/>
          <w:color w:val="auto"/>
          <w:sz w:val="20"/>
          <w:szCs w:val="20"/>
          <w:lang w:val="en-US" w:eastAsia="zh-CN"/>
        </w:rPr>
        <w:t>1</w:t>
      </w:r>
    </w:p>
    <w:p>
      <w:pPr>
        <w:pageBreakBefore w:val="0"/>
        <w:widowControl w:val="0"/>
        <w:kinsoku/>
        <w:wordWrap/>
        <w:overflowPunct/>
        <w:topLinePunct w:val="0"/>
        <w:autoSpaceDE/>
        <w:autoSpaceDN/>
        <w:bidi w:val="0"/>
        <w:spacing w:line="500" w:lineRule="exact"/>
        <w:ind w:firstLine="400" w:firstLineChars="200"/>
        <w:textAlignment w:val="auto"/>
        <w:rPr>
          <w:rFonts w:hint="eastAsia" w:ascii="黑体" w:hAnsi="黑体" w:eastAsia="黑体" w:cs="黑体"/>
          <w:color w:val="auto"/>
          <w:sz w:val="20"/>
          <w:szCs w:val="20"/>
          <w:lang w:eastAsia="zh-CN"/>
        </w:rPr>
      </w:pPr>
      <w:r>
        <w:rPr>
          <w:rFonts w:hint="eastAsia" w:ascii="黑体" w:hAnsi="黑体" w:eastAsia="黑体" w:cs="黑体"/>
          <w:color w:val="auto"/>
          <w:sz w:val="20"/>
          <w:szCs w:val="20"/>
        </w:rPr>
        <w:t>二、收入决算情况说明...............................................................................</w:t>
      </w:r>
      <w:r>
        <w:rPr>
          <w:rFonts w:hint="eastAsia" w:ascii="黑体" w:hAnsi="黑体" w:eastAsia="黑体" w:cs="黑体"/>
          <w:color w:val="auto"/>
          <w:sz w:val="20"/>
          <w:szCs w:val="20"/>
        </w:rPr>
        <w:t>........................</w:t>
      </w:r>
      <w:r>
        <w:rPr>
          <w:rFonts w:hint="eastAsia" w:ascii="黑体" w:hAnsi="黑体" w:eastAsia="黑体" w:cs="黑体"/>
          <w:color w:val="auto"/>
          <w:sz w:val="20"/>
          <w:szCs w:val="20"/>
        </w:rPr>
        <w:t>.</w:t>
      </w:r>
      <w:r>
        <w:rPr>
          <w:rFonts w:hint="eastAsia" w:ascii="黑体" w:hAnsi="黑体" w:eastAsia="黑体" w:cs="黑体"/>
          <w:color w:val="auto"/>
          <w:sz w:val="20"/>
          <w:szCs w:val="20"/>
          <w:lang w:val="en-US" w:eastAsia="zh-CN"/>
        </w:rPr>
        <w:t>2</w:t>
      </w:r>
    </w:p>
    <w:p>
      <w:pPr>
        <w:pageBreakBefore w:val="0"/>
        <w:widowControl w:val="0"/>
        <w:kinsoku/>
        <w:wordWrap/>
        <w:overflowPunct/>
        <w:topLinePunct w:val="0"/>
        <w:autoSpaceDE/>
        <w:autoSpaceDN/>
        <w:bidi w:val="0"/>
        <w:spacing w:line="500" w:lineRule="exact"/>
        <w:ind w:firstLine="400" w:firstLineChars="200"/>
        <w:textAlignment w:val="auto"/>
        <w:rPr>
          <w:rFonts w:hint="eastAsia" w:ascii="黑体" w:hAnsi="黑体" w:eastAsia="黑体" w:cs="黑体"/>
          <w:color w:val="auto"/>
          <w:sz w:val="20"/>
          <w:szCs w:val="20"/>
          <w:lang w:eastAsia="zh-CN"/>
        </w:rPr>
      </w:pPr>
      <w:r>
        <w:rPr>
          <w:rFonts w:hint="eastAsia" w:ascii="黑体" w:hAnsi="黑体" w:eastAsia="黑体" w:cs="黑体"/>
          <w:color w:val="auto"/>
          <w:sz w:val="20"/>
          <w:szCs w:val="20"/>
        </w:rPr>
        <w:t>三、支出决算情况说明.........................................................................</w:t>
      </w:r>
      <w:r>
        <w:rPr>
          <w:rFonts w:hint="eastAsia" w:ascii="黑体" w:hAnsi="黑体" w:eastAsia="黑体" w:cs="黑体"/>
          <w:color w:val="auto"/>
          <w:sz w:val="20"/>
          <w:szCs w:val="20"/>
        </w:rPr>
        <w:t>......................</w:t>
      </w:r>
      <w:r>
        <w:rPr>
          <w:rFonts w:hint="eastAsia" w:ascii="黑体" w:hAnsi="黑体" w:eastAsia="黑体" w:cs="黑体"/>
          <w:color w:val="auto"/>
          <w:sz w:val="20"/>
          <w:szCs w:val="20"/>
        </w:rPr>
        <w:t>....</w:t>
      </w:r>
      <w:r>
        <w:rPr>
          <w:rFonts w:hint="eastAsia" w:ascii="黑体" w:hAnsi="黑体" w:eastAsia="黑体" w:cs="黑体"/>
          <w:color w:val="auto"/>
          <w:sz w:val="20"/>
          <w:szCs w:val="20"/>
        </w:rPr>
        <w:t>..</w:t>
      </w:r>
      <w:r>
        <w:rPr>
          <w:rFonts w:hint="eastAsia" w:ascii="黑体" w:hAnsi="黑体" w:eastAsia="黑体" w:cs="黑体"/>
          <w:color w:val="auto"/>
          <w:sz w:val="20"/>
          <w:szCs w:val="20"/>
        </w:rPr>
        <w:t>...</w:t>
      </w:r>
      <w:r>
        <w:rPr>
          <w:rFonts w:hint="eastAsia" w:ascii="黑体" w:hAnsi="黑体" w:eastAsia="黑体" w:cs="黑体"/>
          <w:color w:val="auto"/>
          <w:sz w:val="20"/>
          <w:szCs w:val="20"/>
          <w:lang w:val="en-US" w:eastAsia="zh-CN"/>
        </w:rPr>
        <w:t>2</w:t>
      </w:r>
    </w:p>
    <w:p>
      <w:pPr>
        <w:pageBreakBefore w:val="0"/>
        <w:widowControl w:val="0"/>
        <w:kinsoku/>
        <w:wordWrap/>
        <w:overflowPunct/>
        <w:topLinePunct w:val="0"/>
        <w:autoSpaceDE/>
        <w:autoSpaceDN/>
        <w:bidi w:val="0"/>
        <w:spacing w:line="500" w:lineRule="exact"/>
        <w:ind w:firstLine="400" w:firstLineChars="200"/>
        <w:textAlignment w:val="auto"/>
        <w:rPr>
          <w:rFonts w:hint="eastAsia" w:ascii="黑体" w:hAnsi="黑体" w:eastAsia="黑体" w:cs="黑体"/>
          <w:color w:val="auto"/>
          <w:sz w:val="20"/>
          <w:szCs w:val="20"/>
          <w:lang w:eastAsia="zh-CN"/>
        </w:rPr>
      </w:pPr>
      <w:r>
        <w:rPr>
          <w:rFonts w:hint="eastAsia" w:ascii="黑体" w:hAnsi="黑体" w:eastAsia="黑体" w:cs="黑体"/>
          <w:color w:val="auto"/>
          <w:sz w:val="20"/>
          <w:szCs w:val="20"/>
        </w:rPr>
        <w:t>四、财政拨款收入支出决算总体情况说明......................................</w:t>
      </w:r>
      <w:r>
        <w:rPr>
          <w:rFonts w:hint="eastAsia" w:ascii="黑体" w:hAnsi="黑体" w:eastAsia="黑体" w:cs="黑体"/>
          <w:color w:val="auto"/>
          <w:sz w:val="20"/>
          <w:szCs w:val="20"/>
        </w:rPr>
        <w:t>.............................</w:t>
      </w:r>
      <w:r>
        <w:rPr>
          <w:rFonts w:hint="eastAsia" w:ascii="黑体" w:hAnsi="黑体" w:eastAsia="黑体" w:cs="黑体"/>
          <w:color w:val="auto"/>
          <w:sz w:val="20"/>
          <w:szCs w:val="20"/>
        </w:rPr>
        <w:t>........</w:t>
      </w:r>
      <w:r>
        <w:rPr>
          <w:rFonts w:hint="eastAsia" w:ascii="黑体" w:hAnsi="黑体" w:eastAsia="黑体" w:cs="黑体"/>
          <w:color w:val="auto"/>
          <w:sz w:val="20"/>
          <w:szCs w:val="20"/>
          <w:lang w:val="en-US" w:eastAsia="zh-CN"/>
        </w:rPr>
        <w:t>2</w:t>
      </w:r>
    </w:p>
    <w:p>
      <w:pPr>
        <w:pStyle w:val="11"/>
        <w:pageBreakBefore w:val="0"/>
        <w:widowControl w:val="0"/>
        <w:kinsoku/>
        <w:wordWrap/>
        <w:overflowPunct/>
        <w:topLinePunct w:val="0"/>
        <w:autoSpaceDE/>
        <w:autoSpaceDN/>
        <w:bidi w:val="0"/>
        <w:adjustRightInd w:val="0"/>
        <w:snapToGrid w:val="0"/>
        <w:spacing w:line="500" w:lineRule="exact"/>
        <w:ind w:left="0" w:leftChars="0" w:firstLine="400" w:firstLineChars="200"/>
        <w:jc w:val="left"/>
        <w:textAlignment w:val="auto"/>
        <w:rPr>
          <w:rFonts w:hint="eastAsia" w:ascii="黑体" w:hAnsi="黑体" w:eastAsia="黑体" w:cs="黑体"/>
          <w:color w:val="auto"/>
          <w:sz w:val="20"/>
          <w:szCs w:val="20"/>
          <w:lang w:eastAsia="zh-CN"/>
        </w:rPr>
      </w:pPr>
      <w:r>
        <w:rPr>
          <w:rFonts w:hint="eastAsia" w:ascii="黑体" w:hAnsi="黑体" w:eastAsia="黑体" w:cs="黑体"/>
          <w:color w:val="auto"/>
          <w:sz w:val="20"/>
          <w:szCs w:val="20"/>
        </w:rPr>
        <w:t>五、一般公共预算财政拨款支出决算情况说明................................</w:t>
      </w:r>
      <w:r>
        <w:rPr>
          <w:rFonts w:hint="eastAsia" w:ascii="黑体" w:hAnsi="黑体" w:eastAsia="黑体" w:cs="黑体"/>
          <w:color w:val="auto"/>
          <w:sz w:val="20"/>
          <w:szCs w:val="20"/>
        </w:rPr>
        <w:t>...........................</w:t>
      </w:r>
      <w:r>
        <w:rPr>
          <w:rFonts w:hint="eastAsia" w:ascii="黑体" w:hAnsi="黑体" w:eastAsia="黑体" w:cs="黑体"/>
          <w:color w:val="auto"/>
          <w:sz w:val="20"/>
          <w:szCs w:val="20"/>
        </w:rPr>
        <w:t>......</w:t>
      </w:r>
      <w:r>
        <w:rPr>
          <w:rFonts w:hint="eastAsia" w:ascii="黑体" w:hAnsi="黑体" w:eastAsia="黑体" w:cs="黑体"/>
          <w:color w:val="auto"/>
          <w:sz w:val="20"/>
          <w:szCs w:val="20"/>
        </w:rPr>
        <w:t>..</w:t>
      </w:r>
      <w:r>
        <w:rPr>
          <w:rFonts w:hint="eastAsia" w:ascii="黑体" w:hAnsi="黑体" w:eastAsia="黑体" w:cs="黑体"/>
          <w:color w:val="auto"/>
          <w:sz w:val="20"/>
          <w:szCs w:val="20"/>
        </w:rPr>
        <w:t>..</w:t>
      </w:r>
      <w:r>
        <w:rPr>
          <w:rFonts w:hint="eastAsia" w:ascii="黑体" w:hAnsi="黑体" w:eastAsia="黑体" w:cs="黑体"/>
          <w:color w:val="auto"/>
          <w:sz w:val="20"/>
          <w:szCs w:val="20"/>
          <w:lang w:val="en-US" w:eastAsia="zh-CN"/>
        </w:rPr>
        <w:t>3</w:t>
      </w:r>
    </w:p>
    <w:p>
      <w:pPr>
        <w:pStyle w:val="11"/>
        <w:pageBreakBefore w:val="0"/>
        <w:widowControl w:val="0"/>
        <w:kinsoku/>
        <w:wordWrap/>
        <w:overflowPunct/>
        <w:topLinePunct w:val="0"/>
        <w:autoSpaceDE/>
        <w:autoSpaceDN/>
        <w:bidi w:val="0"/>
        <w:adjustRightInd w:val="0"/>
        <w:snapToGrid w:val="0"/>
        <w:spacing w:line="500" w:lineRule="exact"/>
        <w:ind w:left="0" w:leftChars="0" w:firstLine="400" w:firstLineChars="200"/>
        <w:jc w:val="left"/>
        <w:textAlignment w:val="auto"/>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rPr>
        <w:t>六、一般公共预算财政拨款基本支出决算情况说明........................</w:t>
      </w:r>
      <w:r>
        <w:rPr>
          <w:rFonts w:hint="eastAsia" w:ascii="黑体" w:hAnsi="黑体" w:eastAsia="黑体" w:cs="黑体"/>
          <w:color w:val="auto"/>
          <w:sz w:val="20"/>
          <w:szCs w:val="20"/>
        </w:rPr>
        <w:t>...........................</w:t>
      </w:r>
      <w:r>
        <w:rPr>
          <w:rFonts w:hint="eastAsia" w:ascii="黑体" w:hAnsi="黑体" w:eastAsia="黑体" w:cs="黑体"/>
          <w:color w:val="auto"/>
          <w:sz w:val="20"/>
          <w:szCs w:val="20"/>
        </w:rPr>
        <w:t>....</w:t>
      </w:r>
      <w:r>
        <w:rPr>
          <w:rFonts w:hint="eastAsia" w:ascii="黑体" w:hAnsi="黑体" w:eastAsia="黑体" w:cs="黑体"/>
          <w:color w:val="auto"/>
          <w:sz w:val="20"/>
          <w:szCs w:val="20"/>
        </w:rPr>
        <w:t>..</w:t>
      </w:r>
      <w:r>
        <w:rPr>
          <w:rFonts w:hint="eastAsia" w:ascii="黑体" w:hAnsi="黑体" w:eastAsia="黑体" w:cs="黑体"/>
          <w:color w:val="auto"/>
          <w:sz w:val="20"/>
          <w:szCs w:val="20"/>
        </w:rPr>
        <w:t>....</w:t>
      </w:r>
      <w:r>
        <w:rPr>
          <w:rFonts w:hint="eastAsia" w:ascii="黑体" w:hAnsi="黑体" w:eastAsia="黑体" w:cs="黑体"/>
          <w:color w:val="auto"/>
          <w:sz w:val="20"/>
          <w:szCs w:val="20"/>
          <w:lang w:val="en-US" w:eastAsia="zh-CN"/>
        </w:rPr>
        <w:t>5</w:t>
      </w:r>
    </w:p>
    <w:p>
      <w:pPr>
        <w:pStyle w:val="11"/>
        <w:pageBreakBefore w:val="0"/>
        <w:widowControl w:val="0"/>
        <w:kinsoku/>
        <w:wordWrap/>
        <w:overflowPunct/>
        <w:topLinePunct w:val="0"/>
        <w:autoSpaceDE/>
        <w:autoSpaceDN/>
        <w:bidi w:val="0"/>
        <w:adjustRightInd w:val="0"/>
        <w:snapToGrid w:val="0"/>
        <w:spacing w:line="500" w:lineRule="exact"/>
        <w:ind w:left="0" w:leftChars="0" w:firstLine="400" w:firstLineChars="200"/>
        <w:jc w:val="left"/>
        <w:textAlignment w:val="auto"/>
        <w:rPr>
          <w:rFonts w:hint="eastAsia" w:ascii="黑体" w:hAnsi="黑体" w:eastAsia="黑体" w:cs="黑体"/>
          <w:color w:val="auto"/>
          <w:sz w:val="20"/>
          <w:szCs w:val="20"/>
          <w:lang w:eastAsia="zh-CN"/>
        </w:rPr>
      </w:pPr>
      <w:r>
        <w:rPr>
          <w:rFonts w:hint="eastAsia" w:ascii="黑体" w:hAnsi="黑体" w:eastAsia="黑体" w:cs="黑体"/>
          <w:color w:val="auto"/>
          <w:sz w:val="20"/>
          <w:szCs w:val="20"/>
        </w:rPr>
        <w:t>七、财政拨款“三公”经费支出决算情况说明................................</w:t>
      </w:r>
      <w:r>
        <w:rPr>
          <w:rFonts w:hint="eastAsia" w:ascii="黑体" w:hAnsi="黑体" w:eastAsia="黑体" w:cs="黑体"/>
          <w:color w:val="auto"/>
          <w:sz w:val="20"/>
          <w:szCs w:val="20"/>
        </w:rPr>
        <w:t>...........................</w:t>
      </w:r>
      <w:r>
        <w:rPr>
          <w:rFonts w:hint="eastAsia" w:ascii="黑体" w:hAnsi="黑体" w:eastAsia="黑体" w:cs="黑体"/>
          <w:color w:val="auto"/>
          <w:sz w:val="20"/>
          <w:szCs w:val="20"/>
        </w:rPr>
        <w:t>.</w:t>
      </w:r>
      <w:r>
        <w:rPr>
          <w:rFonts w:hint="eastAsia" w:ascii="黑体" w:hAnsi="黑体" w:eastAsia="黑体" w:cs="黑体"/>
          <w:color w:val="auto"/>
          <w:sz w:val="20"/>
          <w:szCs w:val="20"/>
        </w:rPr>
        <w:t>...</w:t>
      </w:r>
      <w:r>
        <w:rPr>
          <w:rFonts w:hint="eastAsia" w:ascii="黑体" w:hAnsi="黑体" w:eastAsia="黑体" w:cs="黑体"/>
          <w:color w:val="auto"/>
          <w:sz w:val="20"/>
          <w:szCs w:val="20"/>
        </w:rPr>
        <w:t>.......</w:t>
      </w:r>
      <w:r>
        <w:rPr>
          <w:rFonts w:hint="eastAsia" w:ascii="黑体" w:hAnsi="黑体" w:eastAsia="黑体" w:cs="黑体"/>
          <w:color w:val="auto"/>
          <w:sz w:val="20"/>
          <w:szCs w:val="20"/>
          <w:lang w:val="en-US" w:eastAsia="zh-CN"/>
        </w:rPr>
        <w:t>5</w:t>
      </w:r>
    </w:p>
    <w:p>
      <w:pPr>
        <w:pStyle w:val="11"/>
        <w:pageBreakBefore w:val="0"/>
        <w:widowControl w:val="0"/>
        <w:kinsoku/>
        <w:wordWrap/>
        <w:overflowPunct/>
        <w:topLinePunct w:val="0"/>
        <w:autoSpaceDE/>
        <w:autoSpaceDN/>
        <w:bidi w:val="0"/>
        <w:adjustRightInd w:val="0"/>
        <w:snapToGrid w:val="0"/>
        <w:spacing w:line="500" w:lineRule="exact"/>
        <w:ind w:left="0" w:leftChars="0" w:firstLine="400" w:firstLineChars="200"/>
        <w:jc w:val="left"/>
        <w:textAlignment w:val="auto"/>
        <w:rPr>
          <w:rStyle w:val="13"/>
          <w:rFonts w:hint="eastAsia" w:ascii="黑体" w:hAnsi="黑体" w:eastAsia="黑体" w:cs="黑体"/>
          <w:color w:val="auto"/>
          <w:sz w:val="20"/>
          <w:szCs w:val="20"/>
          <w:lang w:val="en-US" w:eastAsia="zh-CN"/>
        </w:rPr>
      </w:pPr>
      <w:r>
        <w:rPr>
          <w:rStyle w:val="13"/>
          <w:rFonts w:hint="eastAsia" w:ascii="黑体" w:hAnsi="黑体" w:eastAsia="黑体" w:cs="黑体"/>
          <w:color w:val="auto"/>
          <w:sz w:val="20"/>
          <w:szCs w:val="20"/>
        </w:rPr>
        <w:t>八、政府性基金预算支出决算情况说明...........................................</w:t>
      </w:r>
      <w:r>
        <w:rPr>
          <w:rFonts w:hint="eastAsia" w:ascii="黑体" w:hAnsi="黑体" w:eastAsia="黑体" w:cs="黑体"/>
          <w:color w:val="auto"/>
          <w:sz w:val="20"/>
          <w:szCs w:val="20"/>
        </w:rPr>
        <w:t>...........................</w:t>
      </w:r>
      <w:r>
        <w:rPr>
          <w:rFonts w:hint="eastAsia" w:ascii="黑体" w:hAnsi="黑体" w:eastAsia="黑体" w:cs="黑体"/>
          <w:color w:val="auto"/>
          <w:sz w:val="20"/>
          <w:szCs w:val="20"/>
        </w:rPr>
        <w:t>...</w:t>
      </w:r>
      <w:r>
        <w:rPr>
          <w:rStyle w:val="13"/>
          <w:rFonts w:hint="eastAsia" w:ascii="黑体" w:hAnsi="黑体" w:eastAsia="黑体" w:cs="黑体"/>
          <w:color w:val="auto"/>
          <w:sz w:val="20"/>
          <w:szCs w:val="20"/>
        </w:rPr>
        <w:t>........</w:t>
      </w:r>
      <w:r>
        <w:rPr>
          <w:rStyle w:val="13"/>
          <w:rFonts w:hint="eastAsia" w:ascii="黑体" w:hAnsi="黑体" w:eastAsia="黑体" w:cs="黑体"/>
          <w:color w:val="auto"/>
          <w:sz w:val="20"/>
          <w:szCs w:val="20"/>
          <w:lang w:val="en-US" w:eastAsia="zh-CN"/>
        </w:rPr>
        <w:t>7</w:t>
      </w:r>
    </w:p>
    <w:p>
      <w:pPr>
        <w:pStyle w:val="11"/>
        <w:pageBreakBefore w:val="0"/>
        <w:widowControl w:val="0"/>
        <w:kinsoku/>
        <w:wordWrap/>
        <w:overflowPunct/>
        <w:topLinePunct w:val="0"/>
        <w:autoSpaceDE/>
        <w:autoSpaceDN/>
        <w:bidi w:val="0"/>
        <w:adjustRightInd w:val="0"/>
        <w:snapToGrid w:val="0"/>
        <w:spacing w:line="500" w:lineRule="exact"/>
        <w:ind w:left="0" w:leftChars="0" w:firstLine="400" w:firstLineChars="200"/>
        <w:jc w:val="left"/>
        <w:textAlignment w:val="auto"/>
        <w:rPr>
          <w:rStyle w:val="13"/>
          <w:rFonts w:hint="eastAsia" w:ascii="黑体" w:hAnsi="黑体" w:eastAsia="黑体" w:cs="黑体"/>
          <w:color w:val="auto"/>
          <w:sz w:val="20"/>
          <w:szCs w:val="20"/>
          <w:lang w:val="en-US" w:eastAsia="zh-CN"/>
        </w:rPr>
      </w:pPr>
      <w:r>
        <w:rPr>
          <w:rStyle w:val="13"/>
          <w:rFonts w:hint="eastAsia" w:ascii="黑体" w:hAnsi="黑体" w:eastAsia="黑体" w:cs="黑体"/>
          <w:color w:val="auto"/>
          <w:sz w:val="20"/>
          <w:szCs w:val="20"/>
        </w:rPr>
        <w:t>九、国有资本经营预算支出决算情况说明......................................</w:t>
      </w:r>
      <w:r>
        <w:rPr>
          <w:rFonts w:hint="eastAsia" w:ascii="黑体" w:hAnsi="黑体" w:eastAsia="黑体" w:cs="黑体"/>
          <w:color w:val="auto"/>
          <w:sz w:val="20"/>
          <w:szCs w:val="20"/>
        </w:rPr>
        <w:t>...........................</w:t>
      </w:r>
      <w:r>
        <w:rPr>
          <w:rStyle w:val="13"/>
          <w:rFonts w:hint="eastAsia" w:ascii="黑体" w:hAnsi="黑体" w:eastAsia="黑体" w:cs="黑体"/>
          <w:color w:val="auto"/>
          <w:sz w:val="20"/>
          <w:szCs w:val="20"/>
        </w:rPr>
        <w:t>..</w:t>
      </w:r>
      <w:r>
        <w:rPr>
          <w:rFonts w:hint="eastAsia" w:ascii="黑体" w:hAnsi="黑体" w:eastAsia="黑体" w:cs="黑体"/>
          <w:color w:val="auto"/>
          <w:sz w:val="20"/>
          <w:szCs w:val="20"/>
        </w:rPr>
        <w:t>...</w:t>
      </w:r>
      <w:r>
        <w:rPr>
          <w:rStyle w:val="13"/>
          <w:rFonts w:hint="eastAsia" w:ascii="黑体" w:hAnsi="黑体" w:eastAsia="黑体" w:cs="黑体"/>
          <w:color w:val="auto"/>
          <w:sz w:val="20"/>
          <w:szCs w:val="20"/>
        </w:rPr>
        <w:t>.......</w:t>
      </w:r>
      <w:r>
        <w:rPr>
          <w:rStyle w:val="13"/>
          <w:rFonts w:hint="eastAsia" w:ascii="黑体" w:hAnsi="黑体" w:eastAsia="黑体" w:cs="黑体"/>
          <w:color w:val="auto"/>
          <w:sz w:val="20"/>
          <w:szCs w:val="20"/>
          <w:lang w:val="en-US" w:eastAsia="zh-CN"/>
        </w:rPr>
        <w:t xml:space="preserve">7  </w:t>
      </w:r>
    </w:p>
    <w:p>
      <w:pPr>
        <w:pStyle w:val="11"/>
        <w:pageBreakBefore w:val="0"/>
        <w:widowControl w:val="0"/>
        <w:kinsoku/>
        <w:wordWrap/>
        <w:overflowPunct/>
        <w:topLinePunct w:val="0"/>
        <w:autoSpaceDE/>
        <w:autoSpaceDN/>
        <w:bidi w:val="0"/>
        <w:adjustRightInd w:val="0"/>
        <w:snapToGrid w:val="0"/>
        <w:spacing w:line="500" w:lineRule="exact"/>
        <w:ind w:left="0" w:leftChars="0" w:firstLine="400" w:firstLineChars="200"/>
        <w:jc w:val="left"/>
        <w:textAlignment w:val="auto"/>
        <w:rPr>
          <w:rStyle w:val="13"/>
          <w:rFonts w:hint="eastAsia" w:ascii="黑体" w:hAnsi="黑体" w:eastAsia="黑体" w:cs="黑体"/>
          <w:color w:val="auto"/>
          <w:sz w:val="20"/>
          <w:szCs w:val="20"/>
          <w:lang w:val="en-US" w:eastAsia="zh-CN"/>
        </w:rPr>
      </w:pPr>
      <w:r>
        <w:rPr>
          <w:rStyle w:val="13"/>
          <w:rFonts w:hint="eastAsia" w:ascii="黑体" w:hAnsi="黑体" w:eastAsia="黑体" w:cs="黑体"/>
          <w:color w:val="auto"/>
          <w:sz w:val="20"/>
          <w:szCs w:val="20"/>
        </w:rPr>
        <w:t>十、其他重要事项的情况说明........................................................</w:t>
      </w:r>
      <w:r>
        <w:rPr>
          <w:rFonts w:hint="eastAsia" w:ascii="黑体" w:hAnsi="黑体" w:eastAsia="黑体" w:cs="黑体"/>
          <w:color w:val="auto"/>
          <w:sz w:val="20"/>
          <w:szCs w:val="20"/>
        </w:rPr>
        <w:t>..........................</w:t>
      </w:r>
      <w:r>
        <w:rPr>
          <w:rStyle w:val="13"/>
          <w:rFonts w:hint="eastAsia" w:ascii="黑体" w:hAnsi="黑体" w:eastAsia="黑体" w:cs="黑体"/>
          <w:color w:val="auto"/>
          <w:sz w:val="20"/>
          <w:szCs w:val="20"/>
        </w:rPr>
        <w:t>...</w:t>
      </w:r>
      <w:r>
        <w:rPr>
          <w:rFonts w:hint="eastAsia" w:ascii="黑体" w:hAnsi="黑体" w:eastAsia="黑体" w:cs="黑体"/>
          <w:color w:val="auto"/>
          <w:sz w:val="20"/>
          <w:szCs w:val="20"/>
        </w:rPr>
        <w:t>..</w:t>
      </w:r>
      <w:r>
        <w:rPr>
          <w:rStyle w:val="13"/>
          <w:rFonts w:hint="eastAsia" w:ascii="黑体" w:hAnsi="黑体" w:eastAsia="黑体" w:cs="黑体"/>
          <w:color w:val="auto"/>
          <w:sz w:val="20"/>
          <w:szCs w:val="20"/>
        </w:rPr>
        <w:t>........</w:t>
      </w:r>
      <w:r>
        <w:rPr>
          <w:rStyle w:val="13"/>
          <w:rFonts w:hint="eastAsia" w:ascii="黑体" w:hAnsi="黑体" w:eastAsia="黑体" w:cs="黑体"/>
          <w:color w:val="auto"/>
          <w:sz w:val="20"/>
          <w:szCs w:val="20"/>
          <w:lang w:val="en-US" w:eastAsia="zh-CN"/>
        </w:rPr>
        <w:t>7</w:t>
      </w:r>
    </w:p>
    <w:p>
      <w:pPr>
        <w:pStyle w:val="11"/>
        <w:pageBreakBefore w:val="0"/>
        <w:widowControl w:val="0"/>
        <w:kinsoku/>
        <w:wordWrap/>
        <w:overflowPunct/>
        <w:topLinePunct w:val="0"/>
        <w:autoSpaceDE/>
        <w:autoSpaceDN/>
        <w:bidi w:val="0"/>
        <w:adjustRightInd w:val="0"/>
        <w:snapToGrid w:val="0"/>
        <w:spacing w:line="500" w:lineRule="exact"/>
        <w:ind w:left="0" w:leftChars="0" w:firstLine="0" w:firstLineChars="0"/>
        <w:jc w:val="left"/>
        <w:textAlignment w:val="auto"/>
        <w:rPr>
          <w:rStyle w:val="13"/>
          <w:rFonts w:hint="eastAsia" w:ascii="黑体" w:hAnsi="黑体" w:eastAsia="黑体" w:cs="黑体"/>
          <w:b/>
          <w:bCs/>
          <w:color w:val="auto"/>
          <w:sz w:val="20"/>
          <w:szCs w:val="20"/>
          <w:lang w:val="en-US" w:eastAsia="zh-CN"/>
        </w:rPr>
      </w:pPr>
      <w:r>
        <w:rPr>
          <w:rStyle w:val="13"/>
          <w:rFonts w:hint="eastAsia" w:ascii="黑体" w:hAnsi="黑体" w:eastAsia="黑体" w:cs="黑体"/>
          <w:b/>
          <w:bCs/>
          <w:color w:val="auto"/>
          <w:sz w:val="20"/>
          <w:szCs w:val="20"/>
        </w:rPr>
        <w:t>第三部分 名词解释.............</w:t>
      </w:r>
      <w:r>
        <w:rPr>
          <w:rFonts w:hint="eastAsia" w:ascii="黑体" w:hAnsi="黑体" w:eastAsia="黑体" w:cs="黑体"/>
          <w:b/>
          <w:bCs/>
          <w:sz w:val="20"/>
          <w:szCs w:val="20"/>
        </w:rPr>
        <w:t>...</w:t>
      </w:r>
      <w:r>
        <w:rPr>
          <w:rStyle w:val="13"/>
          <w:rFonts w:hint="eastAsia" w:ascii="黑体" w:hAnsi="黑体" w:eastAsia="黑体" w:cs="黑体"/>
          <w:b/>
          <w:bCs/>
          <w:color w:val="auto"/>
          <w:sz w:val="20"/>
          <w:szCs w:val="20"/>
        </w:rPr>
        <w:t>............</w:t>
      </w:r>
      <w:r>
        <w:rPr>
          <w:rStyle w:val="13"/>
          <w:rFonts w:hint="eastAsia" w:ascii="黑体" w:hAnsi="黑体" w:eastAsia="黑体" w:cs="黑体"/>
          <w:b/>
          <w:bCs/>
          <w:color w:val="auto"/>
          <w:sz w:val="20"/>
          <w:szCs w:val="20"/>
        </w:rPr>
        <w:t>....................</w:t>
      </w:r>
      <w:r>
        <w:rPr>
          <w:rFonts w:hint="eastAsia" w:ascii="黑体" w:hAnsi="黑体" w:eastAsia="黑体" w:cs="黑体"/>
          <w:b/>
          <w:bCs/>
          <w:color w:val="auto"/>
          <w:sz w:val="20"/>
          <w:szCs w:val="20"/>
        </w:rPr>
        <w:t>....</w:t>
      </w:r>
      <w:r>
        <w:rPr>
          <w:rStyle w:val="13"/>
          <w:rFonts w:hint="eastAsia" w:ascii="黑体" w:hAnsi="黑体" w:eastAsia="黑体" w:cs="黑体"/>
          <w:b/>
          <w:bCs/>
          <w:color w:val="auto"/>
          <w:sz w:val="20"/>
          <w:szCs w:val="20"/>
        </w:rPr>
        <w:t>....................</w:t>
      </w:r>
      <w:r>
        <w:rPr>
          <w:rFonts w:hint="eastAsia" w:ascii="黑体" w:hAnsi="黑体" w:eastAsia="黑体" w:cs="黑体"/>
          <w:b/>
          <w:bCs/>
          <w:color w:val="auto"/>
          <w:sz w:val="20"/>
          <w:szCs w:val="20"/>
        </w:rPr>
        <w:t>....</w:t>
      </w:r>
      <w:r>
        <w:rPr>
          <w:rStyle w:val="13"/>
          <w:rFonts w:hint="eastAsia" w:ascii="黑体" w:hAnsi="黑体" w:eastAsia="黑体" w:cs="黑体"/>
          <w:b/>
          <w:bCs/>
          <w:color w:val="auto"/>
          <w:sz w:val="20"/>
          <w:szCs w:val="20"/>
        </w:rPr>
        <w:t>....................</w:t>
      </w:r>
      <w:r>
        <w:rPr>
          <w:rFonts w:hint="eastAsia" w:ascii="黑体" w:hAnsi="黑体" w:eastAsia="黑体" w:cs="黑体"/>
          <w:b/>
          <w:bCs/>
          <w:color w:val="auto"/>
          <w:sz w:val="20"/>
          <w:szCs w:val="20"/>
        </w:rPr>
        <w:t>....</w:t>
      </w:r>
      <w:r>
        <w:rPr>
          <w:rStyle w:val="13"/>
          <w:rFonts w:hint="eastAsia" w:ascii="黑体" w:hAnsi="黑体" w:eastAsia="黑体" w:cs="黑体"/>
          <w:b/>
          <w:bCs/>
          <w:color w:val="auto"/>
          <w:sz w:val="20"/>
          <w:szCs w:val="20"/>
        </w:rPr>
        <w:t>....</w:t>
      </w:r>
      <w:r>
        <w:rPr>
          <w:rFonts w:hint="eastAsia" w:ascii="黑体" w:hAnsi="黑体" w:eastAsia="黑体" w:cs="黑体"/>
          <w:b/>
          <w:bCs/>
          <w:color w:val="auto"/>
          <w:sz w:val="20"/>
          <w:szCs w:val="20"/>
        </w:rPr>
        <w:t>..</w:t>
      </w:r>
      <w:r>
        <w:rPr>
          <w:rStyle w:val="13"/>
          <w:rFonts w:hint="eastAsia" w:ascii="黑体" w:hAnsi="黑体" w:eastAsia="黑体" w:cs="黑体"/>
          <w:b/>
          <w:bCs/>
          <w:color w:val="auto"/>
          <w:sz w:val="20"/>
          <w:szCs w:val="20"/>
        </w:rPr>
        <w:t>.........</w:t>
      </w:r>
      <w:r>
        <w:rPr>
          <w:rStyle w:val="13"/>
          <w:rFonts w:hint="eastAsia" w:ascii="黑体" w:hAnsi="黑体" w:eastAsia="黑体" w:cs="黑体"/>
          <w:b/>
          <w:bCs/>
          <w:color w:val="auto"/>
          <w:sz w:val="20"/>
          <w:szCs w:val="20"/>
          <w:lang w:val="en-US" w:eastAsia="zh-CN"/>
        </w:rPr>
        <w:t>9</w:t>
      </w:r>
    </w:p>
    <w:p>
      <w:pPr>
        <w:pStyle w:val="11"/>
        <w:pageBreakBefore w:val="0"/>
        <w:widowControl w:val="0"/>
        <w:kinsoku/>
        <w:wordWrap/>
        <w:overflowPunct/>
        <w:topLinePunct w:val="0"/>
        <w:autoSpaceDE/>
        <w:autoSpaceDN/>
        <w:bidi w:val="0"/>
        <w:adjustRightInd w:val="0"/>
        <w:snapToGrid w:val="0"/>
        <w:spacing w:line="500" w:lineRule="exact"/>
        <w:ind w:left="0" w:leftChars="0" w:firstLine="0" w:firstLineChars="0"/>
        <w:jc w:val="left"/>
        <w:textAlignment w:val="auto"/>
        <w:rPr>
          <w:rStyle w:val="13"/>
          <w:rFonts w:hint="default" w:ascii="黑体" w:hAnsi="黑体" w:eastAsia="黑体" w:cs="黑体"/>
          <w:b/>
          <w:bCs/>
          <w:color w:val="auto"/>
          <w:sz w:val="20"/>
          <w:szCs w:val="20"/>
          <w:lang w:val="en-US" w:eastAsia="zh-CN"/>
        </w:rPr>
      </w:pPr>
      <w:r>
        <w:rPr>
          <w:rStyle w:val="13"/>
          <w:rFonts w:hint="eastAsia" w:ascii="黑体" w:hAnsi="黑体" w:eastAsia="黑体" w:cs="黑体"/>
          <w:b/>
          <w:bCs/>
          <w:color w:val="auto"/>
          <w:sz w:val="20"/>
          <w:szCs w:val="20"/>
        </w:rPr>
        <w:t>第四部分 附件..........................</w:t>
      </w:r>
      <w:r>
        <w:rPr>
          <w:rStyle w:val="13"/>
          <w:rFonts w:hint="eastAsia" w:ascii="黑体" w:hAnsi="黑体" w:eastAsia="黑体" w:cs="黑体"/>
          <w:b/>
          <w:bCs/>
          <w:color w:val="auto"/>
          <w:sz w:val="20"/>
          <w:szCs w:val="20"/>
        </w:rPr>
        <w:t>....................</w:t>
      </w:r>
      <w:r>
        <w:rPr>
          <w:rFonts w:hint="eastAsia" w:ascii="黑体" w:hAnsi="黑体" w:eastAsia="黑体" w:cs="黑体"/>
          <w:b/>
          <w:bCs/>
          <w:color w:val="auto"/>
          <w:sz w:val="20"/>
          <w:szCs w:val="20"/>
        </w:rPr>
        <w:t>....</w:t>
      </w:r>
      <w:r>
        <w:rPr>
          <w:rStyle w:val="13"/>
          <w:rFonts w:hint="eastAsia" w:ascii="黑体" w:hAnsi="黑体" w:eastAsia="黑体" w:cs="黑体"/>
          <w:b/>
          <w:bCs/>
          <w:color w:val="auto"/>
          <w:sz w:val="20"/>
          <w:szCs w:val="20"/>
        </w:rPr>
        <w:t>....................</w:t>
      </w:r>
      <w:r>
        <w:rPr>
          <w:rFonts w:hint="eastAsia" w:ascii="黑体" w:hAnsi="黑体" w:eastAsia="黑体" w:cs="黑体"/>
          <w:b/>
          <w:bCs/>
          <w:color w:val="auto"/>
          <w:sz w:val="20"/>
          <w:szCs w:val="20"/>
        </w:rPr>
        <w:t>....</w:t>
      </w:r>
      <w:r>
        <w:rPr>
          <w:rStyle w:val="13"/>
          <w:rFonts w:hint="eastAsia" w:ascii="黑体" w:hAnsi="黑体" w:eastAsia="黑体" w:cs="黑体"/>
          <w:b/>
          <w:bCs/>
          <w:color w:val="auto"/>
          <w:sz w:val="20"/>
          <w:szCs w:val="20"/>
        </w:rPr>
        <w:t>....................</w:t>
      </w:r>
      <w:r>
        <w:rPr>
          <w:rFonts w:hint="eastAsia" w:ascii="黑体" w:hAnsi="黑体" w:eastAsia="黑体" w:cs="黑体"/>
          <w:b/>
          <w:bCs/>
          <w:color w:val="auto"/>
          <w:sz w:val="20"/>
          <w:szCs w:val="20"/>
        </w:rPr>
        <w:t>....</w:t>
      </w:r>
      <w:r>
        <w:rPr>
          <w:rStyle w:val="13"/>
          <w:rFonts w:hint="eastAsia" w:ascii="黑体" w:hAnsi="黑体" w:eastAsia="黑体" w:cs="黑体"/>
          <w:b/>
          <w:bCs/>
          <w:color w:val="auto"/>
          <w:sz w:val="20"/>
          <w:szCs w:val="20"/>
        </w:rPr>
        <w:t>......................</w:t>
      </w:r>
      <w:r>
        <w:rPr>
          <w:rStyle w:val="13"/>
          <w:rFonts w:hint="eastAsia" w:ascii="黑体" w:hAnsi="黑体" w:eastAsia="黑体" w:cs="黑体"/>
          <w:b/>
          <w:bCs/>
          <w:color w:val="auto"/>
          <w:sz w:val="20"/>
          <w:szCs w:val="20"/>
          <w:lang w:val="en-US" w:eastAsia="zh-CN"/>
        </w:rPr>
        <w:t>1</w:t>
      </w:r>
      <w:r>
        <w:rPr>
          <w:rStyle w:val="13"/>
          <w:rFonts w:hint="eastAsia" w:ascii="黑体" w:hAnsi="黑体" w:eastAsia="黑体" w:cs="黑体"/>
          <w:b/>
          <w:bCs/>
          <w:color w:val="auto"/>
          <w:sz w:val="20"/>
          <w:szCs w:val="20"/>
          <w:lang w:val="en-US" w:eastAsia="zh-CN"/>
        </w:rPr>
        <w:t>1</w:t>
      </w:r>
    </w:p>
    <w:p>
      <w:pPr>
        <w:pStyle w:val="11"/>
        <w:pageBreakBefore w:val="0"/>
        <w:widowControl w:val="0"/>
        <w:kinsoku/>
        <w:wordWrap/>
        <w:overflowPunct/>
        <w:topLinePunct w:val="0"/>
        <w:autoSpaceDE/>
        <w:autoSpaceDN/>
        <w:bidi w:val="0"/>
        <w:adjustRightInd w:val="0"/>
        <w:snapToGrid w:val="0"/>
        <w:spacing w:line="500" w:lineRule="exact"/>
        <w:ind w:left="0" w:leftChars="0" w:firstLine="0" w:firstLineChars="0"/>
        <w:jc w:val="left"/>
        <w:textAlignment w:val="auto"/>
        <w:rPr>
          <w:rStyle w:val="13"/>
          <w:rFonts w:hint="default" w:ascii="黑体" w:hAnsi="黑体" w:eastAsia="黑体" w:cs="黑体"/>
          <w:b/>
          <w:bCs/>
          <w:color w:val="auto"/>
          <w:sz w:val="20"/>
          <w:szCs w:val="20"/>
          <w:lang w:val="en-US" w:eastAsia="zh-CN"/>
        </w:rPr>
      </w:pPr>
      <w:r>
        <w:rPr>
          <w:rStyle w:val="13"/>
          <w:rFonts w:hint="eastAsia" w:ascii="黑体" w:hAnsi="黑体" w:eastAsia="黑体" w:cs="黑体"/>
          <w:b/>
          <w:bCs/>
          <w:color w:val="auto"/>
          <w:sz w:val="20"/>
          <w:szCs w:val="20"/>
        </w:rPr>
        <w:t>第五部分 附表</w:t>
      </w:r>
      <w:r>
        <w:rPr>
          <w:rStyle w:val="13"/>
          <w:rFonts w:hint="eastAsia" w:ascii="黑体" w:hAnsi="黑体" w:eastAsia="黑体" w:cs="黑体"/>
          <w:b/>
          <w:bCs/>
          <w:color w:val="auto"/>
          <w:sz w:val="20"/>
          <w:szCs w:val="20"/>
          <w:lang w:val="en-US" w:eastAsia="zh-CN"/>
        </w:rPr>
        <w:t>........................</w:t>
      </w:r>
      <w:r>
        <w:rPr>
          <w:rStyle w:val="13"/>
          <w:rFonts w:hint="eastAsia" w:ascii="黑体" w:hAnsi="黑体" w:eastAsia="黑体" w:cs="黑体"/>
          <w:b/>
          <w:bCs/>
          <w:color w:val="auto"/>
          <w:sz w:val="20"/>
          <w:szCs w:val="20"/>
        </w:rPr>
        <w:t>....................</w:t>
      </w:r>
      <w:r>
        <w:rPr>
          <w:rFonts w:hint="eastAsia" w:ascii="黑体" w:hAnsi="黑体" w:eastAsia="黑体" w:cs="黑体"/>
          <w:b/>
          <w:bCs/>
          <w:color w:val="auto"/>
          <w:sz w:val="20"/>
          <w:szCs w:val="20"/>
        </w:rPr>
        <w:t>....</w:t>
      </w:r>
      <w:r>
        <w:rPr>
          <w:rStyle w:val="13"/>
          <w:rFonts w:hint="eastAsia" w:ascii="黑体" w:hAnsi="黑体" w:eastAsia="黑体" w:cs="黑体"/>
          <w:b/>
          <w:bCs/>
          <w:color w:val="auto"/>
          <w:sz w:val="20"/>
          <w:szCs w:val="20"/>
        </w:rPr>
        <w:t>....................</w:t>
      </w:r>
      <w:r>
        <w:rPr>
          <w:rFonts w:hint="eastAsia" w:ascii="黑体" w:hAnsi="黑体" w:eastAsia="黑体" w:cs="黑体"/>
          <w:b/>
          <w:bCs/>
          <w:color w:val="auto"/>
          <w:sz w:val="20"/>
          <w:szCs w:val="20"/>
        </w:rPr>
        <w:t>....</w:t>
      </w:r>
      <w:r>
        <w:rPr>
          <w:rStyle w:val="13"/>
          <w:rFonts w:hint="eastAsia" w:ascii="黑体" w:hAnsi="黑体" w:eastAsia="黑体" w:cs="黑体"/>
          <w:b/>
          <w:bCs/>
          <w:color w:val="auto"/>
          <w:sz w:val="20"/>
          <w:szCs w:val="20"/>
        </w:rPr>
        <w:t>....................</w:t>
      </w:r>
      <w:r>
        <w:rPr>
          <w:rFonts w:hint="eastAsia" w:ascii="黑体" w:hAnsi="黑体" w:eastAsia="黑体" w:cs="黑体"/>
          <w:b/>
          <w:bCs/>
          <w:color w:val="auto"/>
          <w:sz w:val="20"/>
          <w:szCs w:val="20"/>
        </w:rPr>
        <w:t>....</w:t>
      </w:r>
      <w:r>
        <w:rPr>
          <w:rStyle w:val="13"/>
          <w:rFonts w:hint="eastAsia" w:ascii="黑体" w:hAnsi="黑体" w:eastAsia="黑体" w:cs="黑体"/>
          <w:b/>
          <w:bCs/>
          <w:color w:val="auto"/>
          <w:sz w:val="20"/>
          <w:szCs w:val="20"/>
          <w:lang w:val="en-US" w:eastAsia="zh-CN"/>
        </w:rPr>
        <w:t>........................2</w:t>
      </w:r>
      <w:r>
        <w:rPr>
          <w:rStyle w:val="13"/>
          <w:rFonts w:hint="eastAsia" w:ascii="黑体" w:hAnsi="黑体" w:eastAsia="黑体" w:cs="黑体"/>
          <w:b/>
          <w:bCs/>
          <w:color w:val="auto"/>
          <w:sz w:val="20"/>
          <w:szCs w:val="20"/>
          <w:lang w:val="en-US" w:eastAsia="zh-CN"/>
        </w:rPr>
        <w:t>5</w:t>
      </w:r>
    </w:p>
    <w:p>
      <w:pPr>
        <w:pStyle w:val="3"/>
        <w:pageBreakBefore w:val="0"/>
        <w:widowControl w:val="0"/>
        <w:kinsoku/>
        <w:wordWrap/>
        <w:overflowPunct/>
        <w:topLinePunct w:val="0"/>
        <w:autoSpaceDE/>
        <w:autoSpaceDN/>
        <w:bidi w:val="0"/>
        <w:spacing w:after="0" w:line="500" w:lineRule="exact"/>
        <w:jc w:val="center"/>
        <w:textAlignment w:val="auto"/>
        <w:rPr>
          <w:rFonts w:hint="eastAsia" w:ascii="黑体" w:hAnsi="黑体" w:eastAsia="黑体"/>
          <w:b w:val="0"/>
          <w:color w:val="auto"/>
        </w:rPr>
        <w:sectPr>
          <w:footerReference r:id="rId6" w:type="first"/>
          <w:footerReference r:id="rId5" w:type="default"/>
          <w:pgSz w:w="11906" w:h="16838"/>
          <w:pgMar w:top="1440" w:right="1800" w:bottom="1440" w:left="1800" w:header="851" w:footer="992" w:gutter="0"/>
          <w:pgNumType w:start="1"/>
          <w:cols w:space="425" w:num="1"/>
          <w:titlePg/>
          <w:docGrid w:type="lines" w:linePitch="312" w:charSpace="0"/>
        </w:sectPr>
      </w:pPr>
      <w:bookmarkStart w:id="12" w:name="_Toc15396599"/>
      <w:bookmarkStart w:id="13" w:name="_Toc15377196"/>
    </w:p>
    <w:p>
      <w:pPr>
        <w:pStyle w:val="3"/>
        <w:jc w:val="center"/>
        <w:rPr>
          <w:rFonts w:ascii="黑体" w:eastAsia="黑体"/>
          <w:color w:val="auto"/>
          <w:sz w:val="24"/>
          <w:szCs w:val="24"/>
        </w:rPr>
      </w:pPr>
      <w:r>
        <w:rPr>
          <w:rFonts w:hint="eastAsia" w:ascii="黑体" w:hAnsi="黑体" w:eastAsia="黑体"/>
          <w:b w:val="0"/>
          <w:color w:val="auto"/>
        </w:rPr>
        <w:t>第一部分 单位</w:t>
      </w:r>
      <w:r>
        <w:rPr>
          <w:rStyle w:val="24"/>
          <w:rFonts w:hint="eastAsia" w:ascii="黑体" w:hAnsi="黑体" w:eastAsia="黑体"/>
          <w:b w:val="0"/>
          <w:bCs w:val="0"/>
          <w:color w:val="auto"/>
        </w:rPr>
        <w:t>概况</w:t>
      </w:r>
      <w:bookmarkEnd w:id="12"/>
      <w:bookmarkEnd w:id="13"/>
    </w:p>
    <w:p>
      <w:pPr>
        <w:pStyle w:val="4"/>
        <w:pageBreakBefore w:val="0"/>
        <w:widowControl w:val="0"/>
        <w:numPr>
          <w:numId w:val="0"/>
        </w:numPr>
        <w:kinsoku/>
        <w:wordWrap/>
        <w:overflowPunct/>
        <w:topLinePunct w:val="0"/>
        <w:autoSpaceDE/>
        <w:autoSpaceDN/>
        <w:bidi w:val="0"/>
        <w:adjustRightInd/>
        <w:snapToGrid/>
        <w:spacing w:before="0" w:after="0"/>
        <w:ind w:left="0" w:firstLine="640" w:firstLineChars="200"/>
        <w:textAlignment w:val="auto"/>
        <w:rPr>
          <w:rFonts w:ascii="仿宋" w:hAnsi="仿宋" w:eastAsia="仿宋" w:cs="仿宋"/>
          <w:b w:val="0"/>
          <w:bCs w:val="0"/>
          <w:color w:val="auto"/>
        </w:rPr>
      </w:pPr>
      <w:bookmarkStart w:id="14" w:name="_Toc15377197"/>
      <w:bookmarkStart w:id="15" w:name="_Toc15396600"/>
      <w:r>
        <w:rPr>
          <w:rStyle w:val="25"/>
          <w:rFonts w:hint="eastAsia" w:ascii="黑体" w:hAnsi="黑体" w:eastAsia="黑体"/>
          <w:b w:val="0"/>
          <w:bCs w:val="0"/>
          <w:color w:val="auto"/>
          <w:lang w:eastAsia="zh-CN"/>
        </w:rPr>
        <w:t>一、</w:t>
      </w:r>
      <w:r>
        <w:rPr>
          <w:rStyle w:val="25"/>
          <w:rFonts w:hint="eastAsia" w:ascii="黑体" w:hAnsi="黑体" w:eastAsia="黑体"/>
          <w:b w:val="0"/>
          <w:bCs w:val="0"/>
          <w:color w:val="auto"/>
        </w:rPr>
        <w:t>主要职责</w:t>
      </w:r>
    </w:p>
    <w:p>
      <w:pPr>
        <w:pStyle w:val="4"/>
        <w:pageBreakBefore w:val="0"/>
        <w:widowControl w:val="0"/>
        <w:kinsoku/>
        <w:wordWrap/>
        <w:overflowPunct/>
        <w:topLinePunct w:val="0"/>
        <w:autoSpaceDE/>
        <w:autoSpaceDN/>
        <w:bidi w:val="0"/>
        <w:adjustRightInd/>
        <w:snapToGrid/>
        <w:spacing w:before="0" w:after="0"/>
        <w:ind w:left="0" w:firstLine="640" w:firstLineChars="200"/>
        <w:textAlignment w:val="auto"/>
        <w:rPr>
          <w:rFonts w:hint="eastAsia" w:ascii="仿宋" w:hAnsi="仿宋" w:eastAsia="仿宋" w:cs="仿宋"/>
          <w:b w:val="0"/>
          <w:bCs w:val="0"/>
          <w:color w:val="auto"/>
          <w:lang w:val="en-US" w:eastAsia="zh-CN"/>
        </w:rPr>
      </w:pPr>
      <w:r>
        <w:rPr>
          <w:rFonts w:hint="eastAsia" w:ascii="仿宋_GB2312" w:hAnsi="仿宋_GB2312" w:eastAsia="仿宋_GB2312" w:cs="仿宋_GB2312"/>
          <w:b w:val="0"/>
          <w:bCs w:val="0"/>
          <w:color w:val="auto"/>
          <w:sz w:val="32"/>
          <w:szCs w:val="32"/>
        </w:rPr>
        <w:t>广元市救助管理站为市民政局直属事业单位，其主要职能是对城市生活无着的流浪乞讨人员提供临时性救助，依法保护未成年人合法权益，构建覆盖城乡的未成年人保护网络。</w:t>
      </w:r>
      <w:r>
        <w:rPr>
          <w:rFonts w:hint="eastAsia" w:ascii="仿宋" w:hAnsi="仿宋" w:eastAsia="仿宋" w:cs="仿宋"/>
          <w:b w:val="0"/>
          <w:bCs w:val="0"/>
          <w:color w:val="auto"/>
          <w:lang w:val="en-US" w:eastAsia="zh-CN"/>
        </w:rPr>
        <w:t xml:space="preserve">    </w:t>
      </w:r>
    </w:p>
    <w:p>
      <w:pPr>
        <w:pStyle w:val="4"/>
        <w:pageBreakBefore w:val="0"/>
        <w:widowControl w:val="0"/>
        <w:kinsoku/>
        <w:wordWrap/>
        <w:overflowPunct/>
        <w:topLinePunct w:val="0"/>
        <w:autoSpaceDE/>
        <w:autoSpaceDN/>
        <w:bidi w:val="0"/>
        <w:adjustRightInd/>
        <w:snapToGrid/>
        <w:spacing w:before="0" w:after="0"/>
        <w:ind w:left="0" w:firstLine="640" w:firstLineChars="200"/>
        <w:textAlignment w:val="auto"/>
        <w:rPr>
          <w:rFonts w:ascii="黑体" w:hAnsi="黑体" w:eastAsia="黑体"/>
          <w:b w:val="0"/>
          <w:color w:val="auto"/>
        </w:rPr>
      </w:pPr>
      <w:r>
        <w:rPr>
          <w:rFonts w:hint="eastAsia" w:ascii="黑体" w:hAnsi="黑体" w:eastAsia="黑体"/>
          <w:b w:val="0"/>
          <w:color w:val="auto"/>
        </w:rPr>
        <w:t>二、机构设置</w:t>
      </w:r>
    </w:p>
    <w:p>
      <w:pPr>
        <w:pStyle w:val="4"/>
        <w:pageBreakBefore w:val="0"/>
        <w:widowControl w:val="0"/>
        <w:kinsoku/>
        <w:wordWrap/>
        <w:overflowPunct/>
        <w:topLinePunct w:val="0"/>
        <w:autoSpaceDE/>
        <w:autoSpaceDN/>
        <w:bidi w:val="0"/>
        <w:adjustRightInd/>
        <w:snapToGrid/>
        <w:spacing w:before="0" w:after="0"/>
        <w:ind w:left="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单位编制数为54人，现有在职职工51人，离休人员1人，退休人员31人,我站设有办公室、财务、后勤、安教、联系、成人、儿保、社工等股室。</w:t>
      </w:r>
      <w:bookmarkEnd w:id="14"/>
      <w:bookmarkEnd w:id="15"/>
      <w:bookmarkStart w:id="16" w:name="_Toc15377204"/>
      <w:bookmarkStart w:id="17" w:name="_Toc15396602"/>
    </w:p>
    <w:p>
      <w:pPr>
        <w:pStyle w:val="4"/>
        <w:keepNext/>
        <w:keepLines/>
        <w:pageBreakBefore w:val="0"/>
        <w:widowControl w:val="0"/>
        <w:kinsoku/>
        <w:wordWrap/>
        <w:overflowPunct/>
        <w:topLinePunct w:val="0"/>
        <w:autoSpaceDE/>
        <w:autoSpaceDN/>
        <w:bidi w:val="0"/>
        <w:adjustRightInd/>
        <w:snapToGrid/>
        <w:spacing w:before="260" w:after="260" w:line="416" w:lineRule="auto"/>
        <w:ind w:left="0" w:firstLine="880" w:firstLineChars="200"/>
        <w:textAlignment w:val="auto"/>
        <w:rPr>
          <w:rFonts w:hint="eastAsia" w:ascii="黑体" w:hAnsi="黑体" w:eastAsia="黑体"/>
          <w:color w:val="auto"/>
          <w:sz w:val="32"/>
          <w:szCs w:val="32"/>
          <w:lang w:eastAsia="zh-CN"/>
        </w:rPr>
      </w:pPr>
      <w:r>
        <w:rPr>
          <w:rFonts w:hint="eastAsia" w:ascii="黑体" w:hAnsi="黑体" w:eastAsia="黑体"/>
          <w:b w:val="0"/>
          <w:color w:val="auto"/>
          <w:sz w:val="44"/>
          <w:szCs w:val="44"/>
        </w:rPr>
        <w:t>第二部分 2022年度</w:t>
      </w:r>
      <w:r>
        <w:rPr>
          <w:rStyle w:val="24"/>
          <w:rFonts w:hint="eastAsia" w:ascii="黑体" w:hAnsi="黑体" w:eastAsia="黑体"/>
          <w:b w:val="0"/>
          <w:bCs/>
          <w:color w:val="auto"/>
        </w:rPr>
        <w:t>单位决算情况说明</w:t>
      </w:r>
      <w:bookmarkEnd w:id="16"/>
      <w:bookmarkEnd w:id="17"/>
      <w:bookmarkStart w:id="18" w:name="_Toc15396603"/>
      <w:bookmarkStart w:id="19" w:name="_Toc15377205"/>
    </w:p>
    <w:p>
      <w:pPr>
        <w:pStyle w:val="23"/>
        <w:pageBreakBefore w:val="0"/>
        <w:widowControl w:val="0"/>
        <w:numPr>
          <w:numId w:val="0"/>
        </w:numPr>
        <w:kinsoku/>
        <w:wordWrap/>
        <w:overflowPunct/>
        <w:topLinePunct w:val="0"/>
        <w:autoSpaceDE/>
        <w:autoSpaceDN/>
        <w:bidi w:val="0"/>
        <w:adjustRightInd/>
        <w:snapToGrid/>
        <w:spacing w:line="600" w:lineRule="exact"/>
        <w:ind w:left="-720" w:leftChars="0" w:firstLine="1280" w:firstLineChars="400"/>
        <w:textAlignment w:val="auto"/>
        <w:outlineLvl w:val="1"/>
        <w:rPr>
          <w:rStyle w:val="25"/>
          <w:rFonts w:ascii="黑体" w:hAnsi="黑体" w:eastAsia="黑体"/>
          <w:b w:val="0"/>
          <w:color w:val="auto"/>
        </w:rPr>
      </w:pPr>
      <w:r>
        <w:rPr>
          <w:rFonts w:hint="eastAsia" w:ascii="黑体" w:hAnsi="黑体" w:eastAsia="黑体"/>
          <w:color w:val="auto"/>
          <w:sz w:val="32"/>
          <w:szCs w:val="32"/>
          <w:lang w:eastAsia="zh-CN"/>
        </w:rPr>
        <w:t>一、</w:t>
      </w:r>
      <w:r>
        <w:rPr>
          <w:rFonts w:hint="eastAsia" w:ascii="黑体" w:hAnsi="黑体" w:eastAsia="黑体"/>
          <w:color w:val="auto"/>
          <w:sz w:val="32"/>
          <w:szCs w:val="32"/>
        </w:rPr>
        <w:t>收</w:t>
      </w:r>
      <w:r>
        <w:rPr>
          <w:rStyle w:val="25"/>
          <w:rFonts w:hint="eastAsia" w:ascii="黑体" w:hAnsi="黑体" w:eastAsia="黑体"/>
          <w:b w:val="0"/>
          <w:color w:val="auto"/>
        </w:rPr>
        <w:t>入支出决算总体情况说明</w:t>
      </w:r>
      <w:bookmarkEnd w:id="18"/>
      <w:bookmarkEnd w:id="19"/>
    </w:p>
    <w:p>
      <w:pPr>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ascii="仿宋" w:hAnsi="仿宋" w:eastAsia="仿宋"/>
          <w:color w:val="auto"/>
          <w:sz w:val="32"/>
          <w:szCs w:val="32"/>
        </w:rPr>
      </w:pPr>
      <w:r>
        <w:rPr>
          <w:rFonts w:hint="eastAsia" w:ascii="仿宋_GB2312" w:hAnsi="仿宋_GB2312" w:eastAsia="仿宋_GB2312" w:cs="仿宋_GB2312"/>
          <w:b w:val="0"/>
          <w:bCs w:val="0"/>
          <w:color w:val="auto"/>
          <w:kern w:val="2"/>
          <w:sz w:val="32"/>
          <w:szCs w:val="32"/>
          <w:lang w:val="en-US" w:eastAsia="zh-CN" w:bidi="ar-SA"/>
        </w:rPr>
        <w:drawing>
          <wp:anchor distT="0" distB="0" distL="114300" distR="114300" simplePos="0" relativeHeight="251659264" behindDoc="1" locked="0" layoutInCell="1" allowOverlap="1">
            <wp:simplePos x="0" y="0"/>
            <wp:positionH relativeFrom="column">
              <wp:posOffset>1325245</wp:posOffset>
            </wp:positionH>
            <wp:positionV relativeFrom="paragraph">
              <wp:posOffset>1829435</wp:posOffset>
            </wp:positionV>
            <wp:extent cx="2528570" cy="1277620"/>
            <wp:effectExtent l="19050" t="0" r="24130" b="0"/>
            <wp:wrapThrough wrapText="bothSides">
              <wp:wrapPolygon>
                <wp:start x="-163" y="0"/>
                <wp:lineTo x="-163" y="21579"/>
                <wp:lineTo x="21806" y="21579"/>
                <wp:lineTo x="21806" y="0"/>
                <wp:lineTo x="-163" y="0"/>
              </wp:wrapPolygon>
            </wp:wrapThrough>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_GB2312" w:hAnsi="仿宋_GB2312" w:eastAsia="仿宋_GB2312" w:cs="仿宋_GB2312"/>
          <w:b w:val="0"/>
          <w:bCs w:val="0"/>
          <w:color w:val="auto"/>
          <w:kern w:val="2"/>
          <w:sz w:val="32"/>
          <w:szCs w:val="32"/>
          <w:lang w:val="en-US" w:eastAsia="zh-CN" w:bidi="ar-SA"/>
        </w:rPr>
        <w:t>2022年度收、支总计1452.16万元。与2021年相比，收、支总计各减少846.93万元，下降36%。主要变动原因一是因为新冠疫情严重，我站救助业务无法正常开展，项目资金支付大幅减少，二是年终决算改革，当年结余资金不作为本年收入。</w:t>
      </w:r>
    </w:p>
    <w:p>
      <w:pPr>
        <w:spacing w:line="600" w:lineRule="exact"/>
        <w:ind w:firstLine="640" w:firstLineChars="200"/>
        <w:rPr>
          <w:rFonts w:ascii="仿宋" w:hAnsi="仿宋" w:eastAsia="仿宋"/>
          <w:color w:val="auto"/>
          <w:sz w:val="32"/>
          <w:szCs w:val="32"/>
        </w:rPr>
      </w:pPr>
    </w:p>
    <w:p>
      <w:pPr>
        <w:spacing w:line="600" w:lineRule="exact"/>
        <w:ind w:firstLine="640" w:firstLineChars="200"/>
        <w:rPr>
          <w:rFonts w:ascii="仿宋" w:hAnsi="仿宋" w:eastAsia="仿宋"/>
          <w:color w:val="auto"/>
          <w:sz w:val="32"/>
          <w:szCs w:val="32"/>
        </w:rPr>
      </w:pPr>
    </w:p>
    <w:p>
      <w:pPr>
        <w:pStyle w:val="2"/>
        <w:spacing w:before="93"/>
        <w:rPr>
          <w:color w:val="auto"/>
        </w:rPr>
      </w:pPr>
    </w:p>
    <w:p>
      <w:pPr>
        <w:spacing w:line="600" w:lineRule="exact"/>
        <w:ind w:firstLine="640" w:firstLineChars="200"/>
        <w:jc w:val="center"/>
        <w:rPr>
          <w:rFonts w:ascii="仿宋" w:hAnsi="仿宋" w:eastAsia="仿宋"/>
          <w:color w:val="auto"/>
          <w:sz w:val="32"/>
          <w:szCs w:val="32"/>
        </w:rPr>
      </w:pPr>
      <w:r>
        <w:rPr>
          <w:rFonts w:hint="eastAsia" w:ascii="仿宋" w:hAnsi="仿宋" w:eastAsia="仿宋"/>
          <w:color w:val="auto"/>
          <w:sz w:val="32"/>
          <w:szCs w:val="32"/>
        </w:rPr>
        <w:t>（图</w:t>
      </w:r>
      <w:r>
        <w:rPr>
          <w:rFonts w:ascii="仿宋" w:hAnsi="仿宋" w:eastAsia="仿宋"/>
          <w:color w:val="auto"/>
          <w:sz w:val="32"/>
          <w:szCs w:val="32"/>
        </w:rPr>
        <w:t>1</w:t>
      </w:r>
      <w:r>
        <w:rPr>
          <w:rFonts w:hint="eastAsia" w:ascii="仿宋" w:hAnsi="仿宋" w:eastAsia="仿宋"/>
          <w:color w:val="auto"/>
          <w:sz w:val="32"/>
          <w:szCs w:val="32"/>
        </w:rPr>
        <w:t>：收、支决算总计变动情况图）</w:t>
      </w:r>
    </w:p>
    <w:p>
      <w:pPr>
        <w:pStyle w:val="23"/>
        <w:numPr>
          <w:numId w:val="0"/>
        </w:numPr>
        <w:spacing w:line="600" w:lineRule="exact"/>
        <w:ind w:left="640" w:leftChars="0"/>
        <w:outlineLvl w:val="1"/>
        <w:rPr>
          <w:rStyle w:val="25"/>
          <w:rFonts w:ascii="黑体" w:hAnsi="黑体" w:eastAsia="黑体"/>
          <w:b w:val="0"/>
          <w:color w:val="auto"/>
        </w:rPr>
      </w:pPr>
      <w:bookmarkStart w:id="20" w:name="_Toc15377206"/>
      <w:bookmarkStart w:id="21" w:name="_Toc15396604"/>
      <w:r>
        <w:rPr>
          <w:rFonts w:hint="eastAsia" w:ascii="黑体" w:hAnsi="黑体" w:eastAsia="黑体"/>
          <w:color w:val="auto"/>
          <w:sz w:val="32"/>
          <w:szCs w:val="32"/>
          <w:lang w:eastAsia="zh-CN"/>
        </w:rPr>
        <w:t>二、</w:t>
      </w:r>
      <w:r>
        <w:rPr>
          <w:rFonts w:hint="eastAsia" w:ascii="黑体" w:hAnsi="黑体" w:eastAsia="黑体"/>
          <w:color w:val="auto"/>
          <w:sz w:val="32"/>
          <w:szCs w:val="32"/>
        </w:rPr>
        <w:t>收</w:t>
      </w:r>
      <w:r>
        <w:rPr>
          <w:rStyle w:val="25"/>
          <w:rFonts w:hint="eastAsia" w:ascii="黑体" w:hAnsi="黑体" w:eastAsia="黑体"/>
          <w:b w:val="0"/>
          <w:color w:val="auto"/>
        </w:rPr>
        <w:t>入决算情况说明</w:t>
      </w:r>
      <w:bookmarkEnd w:id="20"/>
      <w:bookmarkEnd w:id="21"/>
    </w:p>
    <w:p>
      <w:pPr>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2022年本年收入合计1242.6万元，其中：一般公共预算财政拨款收入1242.6万元，占100%。</w:t>
      </w:r>
    </w:p>
    <w:p>
      <w:pPr>
        <w:pStyle w:val="2"/>
        <w:spacing w:before="93"/>
        <w:jc w:val="center"/>
        <w:rPr>
          <w:rFonts w:eastAsia="仿宋"/>
          <w:color w:val="auto"/>
        </w:rPr>
      </w:pPr>
      <w:r>
        <w:rPr>
          <w:rFonts w:hint="eastAsia" w:eastAsia="仿宋"/>
          <w:color w:val="auto"/>
        </w:rPr>
        <w:drawing>
          <wp:inline distT="0" distB="0" distL="114300" distR="114300">
            <wp:extent cx="2611755" cy="1416050"/>
            <wp:effectExtent l="4445" t="4445" r="12700" b="825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jc w:val="center"/>
        <w:rPr>
          <w:rFonts w:ascii="仿宋" w:hAnsi="仿宋" w:eastAsia="仿宋"/>
          <w:color w:val="auto"/>
          <w:sz w:val="32"/>
          <w:szCs w:val="32"/>
        </w:rPr>
      </w:pPr>
      <w:r>
        <w:rPr>
          <w:rFonts w:hint="eastAsia" w:ascii="仿宋" w:hAnsi="仿宋" w:eastAsia="仿宋"/>
          <w:color w:val="auto"/>
          <w:sz w:val="32"/>
          <w:szCs w:val="32"/>
        </w:rPr>
        <w:t>（图2：收入决算结构图）</w:t>
      </w:r>
    </w:p>
    <w:p>
      <w:pPr>
        <w:pStyle w:val="23"/>
        <w:numPr>
          <w:numId w:val="0"/>
        </w:numPr>
        <w:spacing w:line="600" w:lineRule="exact"/>
        <w:ind w:left="640" w:leftChars="0"/>
        <w:outlineLvl w:val="1"/>
        <w:rPr>
          <w:rStyle w:val="25"/>
          <w:rFonts w:ascii="黑体" w:hAnsi="黑体" w:eastAsia="黑体"/>
          <w:b w:val="0"/>
          <w:color w:val="auto"/>
        </w:rPr>
      </w:pPr>
      <w:bookmarkStart w:id="22" w:name="_Toc15396605"/>
      <w:bookmarkStart w:id="23" w:name="_Toc15377207"/>
      <w:r>
        <w:rPr>
          <w:rFonts w:hint="eastAsia" w:ascii="黑体" w:hAnsi="黑体" w:eastAsia="黑体"/>
          <w:color w:val="auto"/>
          <w:sz w:val="32"/>
          <w:szCs w:val="32"/>
          <w:lang w:eastAsia="zh-CN"/>
        </w:rPr>
        <w:t>三、</w:t>
      </w:r>
      <w:r>
        <w:rPr>
          <w:rFonts w:hint="eastAsia" w:ascii="黑体" w:hAnsi="黑体" w:eastAsia="黑体"/>
          <w:color w:val="auto"/>
          <w:sz w:val="32"/>
          <w:szCs w:val="32"/>
        </w:rPr>
        <w:t>支</w:t>
      </w:r>
      <w:r>
        <w:rPr>
          <w:rStyle w:val="25"/>
          <w:rFonts w:hint="eastAsia" w:ascii="黑体" w:hAnsi="黑体" w:eastAsia="黑体"/>
          <w:b w:val="0"/>
          <w:color w:val="auto"/>
        </w:rPr>
        <w:t>出决算情况说明</w:t>
      </w:r>
      <w:bookmarkEnd w:id="22"/>
      <w:bookmarkEnd w:id="23"/>
    </w:p>
    <w:p>
      <w:pPr>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2022年本年支出合计1452.16万元，其中：基本支出967.6万元，占66.6%；项目支出484.57万元，占33.4%。</w:t>
      </w:r>
    </w:p>
    <w:p>
      <w:pPr>
        <w:spacing w:line="600" w:lineRule="exact"/>
        <w:ind w:firstLine="640" w:firstLineChars="200"/>
        <w:jc w:val="center"/>
        <w:rPr>
          <w:rFonts w:ascii="仿宋" w:hAnsi="仿宋" w:eastAsia="仿宋"/>
          <w:color w:val="auto"/>
          <w:sz w:val="32"/>
          <w:szCs w:val="32"/>
        </w:rPr>
      </w:pPr>
      <w:r>
        <w:rPr>
          <w:rFonts w:hint="eastAsia" w:ascii="仿宋" w:hAnsi="仿宋" w:eastAsia="仿宋"/>
          <w:color w:val="auto"/>
          <w:sz w:val="32"/>
          <w:szCs w:val="32"/>
          <w:shd w:val="pct10" w:color="auto" w:fill="FFFFFF"/>
        </w:rPr>
        <w:drawing>
          <wp:anchor distT="0" distB="0" distL="114300" distR="114300" simplePos="0" relativeHeight="251660288" behindDoc="0" locked="0" layoutInCell="1" allowOverlap="1">
            <wp:simplePos x="0" y="0"/>
            <wp:positionH relativeFrom="column">
              <wp:posOffset>1130300</wp:posOffset>
            </wp:positionH>
            <wp:positionV relativeFrom="paragraph">
              <wp:posOffset>127635</wp:posOffset>
            </wp:positionV>
            <wp:extent cx="2724785" cy="1336675"/>
            <wp:effectExtent l="4445" t="4445" r="13970" b="11430"/>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color w:val="auto"/>
          <w:sz w:val="32"/>
          <w:szCs w:val="32"/>
        </w:rPr>
        <w:t>（图3：支出决算结构图）</w:t>
      </w:r>
    </w:p>
    <w:p>
      <w:pPr>
        <w:spacing w:line="600" w:lineRule="exact"/>
        <w:ind w:firstLine="640" w:firstLineChars="200"/>
        <w:outlineLvl w:val="1"/>
        <w:rPr>
          <w:rStyle w:val="25"/>
          <w:rFonts w:ascii="黑体" w:hAnsi="黑体" w:eastAsia="黑体"/>
          <w:b w:val="0"/>
          <w:color w:val="auto"/>
        </w:rPr>
      </w:pPr>
      <w:bookmarkStart w:id="24" w:name="_Toc15396606"/>
      <w:bookmarkStart w:id="25" w:name="_Toc15377208"/>
      <w:r>
        <w:rPr>
          <w:rFonts w:hint="eastAsia" w:ascii="黑体" w:hAnsi="黑体" w:eastAsia="黑体"/>
          <w:color w:val="auto"/>
          <w:sz w:val="32"/>
          <w:szCs w:val="32"/>
        </w:rPr>
        <w:t>四、财</w:t>
      </w:r>
      <w:r>
        <w:rPr>
          <w:rStyle w:val="25"/>
          <w:rFonts w:hint="eastAsia" w:ascii="黑体" w:hAnsi="黑体" w:eastAsia="黑体"/>
          <w:b w:val="0"/>
          <w:color w:val="auto"/>
        </w:rPr>
        <w:t>政拨款收入支出决算总体情况说明</w:t>
      </w:r>
      <w:bookmarkEnd w:id="24"/>
      <w:bookmarkEnd w:id="25"/>
    </w:p>
    <w:p>
      <w:pPr>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2022年财政拨款收、支总计1452.16万元。与2021年相比，财政拨款收、支总计各减少846.93万元，下降36%。主要变动原因是主要变动原因一是因为新冠疫情严重，我站救助业务无法正常开展，项目资金支付大幅减少，二是年终决算改革，当年结余资金不作为本年收入。</w:t>
      </w:r>
    </w:p>
    <w:p>
      <w:pPr>
        <w:spacing w:line="600" w:lineRule="exact"/>
        <w:rPr>
          <w:rFonts w:ascii="仿宋" w:hAnsi="仿宋" w:eastAsia="仿宋"/>
          <w:color w:val="auto"/>
          <w:sz w:val="32"/>
          <w:szCs w:val="32"/>
        </w:rPr>
      </w:pPr>
      <w:r>
        <w:rPr>
          <w:rFonts w:hint="eastAsia" w:ascii="仿宋" w:hAnsi="仿宋" w:eastAsia="仿宋"/>
          <w:color w:val="auto"/>
          <w:sz w:val="32"/>
          <w:szCs w:val="32"/>
        </w:rPr>
        <w:drawing>
          <wp:anchor distT="0" distB="0" distL="114300" distR="114300" simplePos="0" relativeHeight="251661312" behindDoc="0" locked="0" layoutInCell="1" allowOverlap="1">
            <wp:simplePos x="0" y="0"/>
            <wp:positionH relativeFrom="column">
              <wp:posOffset>1466850</wp:posOffset>
            </wp:positionH>
            <wp:positionV relativeFrom="paragraph">
              <wp:posOffset>125095</wp:posOffset>
            </wp:positionV>
            <wp:extent cx="2528570" cy="1409065"/>
            <wp:effectExtent l="4445" t="4445" r="19685" b="15240"/>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仿宋" w:hAnsi="仿宋" w:eastAsia="仿宋"/>
          <w:color w:val="auto"/>
          <w:sz w:val="32"/>
          <w:szCs w:val="32"/>
        </w:rPr>
        <w:t>（图4：财政拨款收、支决算总计变动情况）</w:t>
      </w:r>
    </w:p>
    <w:p>
      <w:pPr>
        <w:spacing w:line="600" w:lineRule="exact"/>
        <w:ind w:firstLine="640" w:firstLineChars="200"/>
        <w:outlineLvl w:val="1"/>
        <w:rPr>
          <w:rStyle w:val="25"/>
          <w:rFonts w:ascii="黑体" w:hAnsi="黑体" w:eastAsia="黑体"/>
          <w:b w:val="0"/>
          <w:color w:val="auto"/>
        </w:rPr>
      </w:pPr>
      <w:bookmarkStart w:id="26" w:name="_Toc15396607"/>
      <w:bookmarkStart w:id="27" w:name="_Toc15377209"/>
      <w:r>
        <w:rPr>
          <w:rFonts w:hint="eastAsia" w:ascii="黑体" w:hAnsi="黑体" w:eastAsia="黑体"/>
          <w:color w:val="auto"/>
          <w:sz w:val="32"/>
          <w:szCs w:val="32"/>
        </w:rPr>
        <w:t>五、</w:t>
      </w:r>
      <w:r>
        <w:rPr>
          <w:rFonts w:hint="eastAsia" w:ascii="黑体" w:hAnsi="黑体" w:eastAsia="黑体"/>
          <w:b/>
          <w:color w:val="auto"/>
          <w:sz w:val="32"/>
          <w:szCs w:val="32"/>
        </w:rPr>
        <w:t>一</w:t>
      </w:r>
      <w:r>
        <w:rPr>
          <w:rStyle w:val="25"/>
          <w:rFonts w:hint="eastAsia" w:ascii="黑体" w:hAnsi="黑体" w:eastAsia="黑体"/>
          <w:b w:val="0"/>
          <w:color w:val="auto"/>
        </w:rPr>
        <w:t>般公共预算财政拨款支出决算情况说明</w:t>
      </w:r>
      <w:bookmarkEnd w:id="26"/>
      <w:bookmarkEnd w:id="27"/>
    </w:p>
    <w:p>
      <w:pPr>
        <w:spacing w:line="600" w:lineRule="exact"/>
        <w:ind w:firstLine="642" w:firstLineChars="200"/>
        <w:outlineLvl w:val="2"/>
        <w:rPr>
          <w:rFonts w:ascii="仿宋" w:hAnsi="仿宋" w:eastAsia="仿宋"/>
          <w:b/>
          <w:color w:val="auto"/>
          <w:sz w:val="32"/>
          <w:szCs w:val="32"/>
        </w:rPr>
      </w:pPr>
      <w:bookmarkStart w:id="28" w:name="_Toc15377210"/>
      <w:r>
        <w:rPr>
          <w:rFonts w:hint="eastAsia" w:ascii="仿宋" w:hAnsi="仿宋" w:eastAsia="仿宋"/>
          <w:b/>
          <w:color w:val="auto"/>
          <w:sz w:val="32"/>
          <w:szCs w:val="32"/>
        </w:rPr>
        <w:t>（一）一般公共预算财政拨款支出决算总体情况</w:t>
      </w:r>
      <w:bookmarkEnd w:id="28"/>
    </w:p>
    <w:p>
      <w:pPr>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2022年一般公共预算财政拨款支出1392.18万元，占本年支出合计的95%。与2021年相比，一般公共预算财政拨款支出减少100.18万元，下降6%。主要变动原因是当年人员经费增加147.06万元，项目支出减少247.24万元。</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drawing>
          <wp:anchor distT="0" distB="0" distL="114300" distR="114300" simplePos="0" relativeHeight="251662336" behindDoc="0" locked="0" layoutInCell="1" allowOverlap="1">
            <wp:simplePos x="0" y="0"/>
            <wp:positionH relativeFrom="column">
              <wp:posOffset>1449070</wp:posOffset>
            </wp:positionH>
            <wp:positionV relativeFrom="paragraph">
              <wp:posOffset>123190</wp:posOffset>
            </wp:positionV>
            <wp:extent cx="2802255" cy="1398270"/>
            <wp:effectExtent l="4445" t="4445" r="12700" b="6985"/>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仿宋" w:hAnsi="仿宋" w:eastAsia="仿宋"/>
          <w:color w:val="auto"/>
          <w:sz w:val="32"/>
          <w:szCs w:val="32"/>
        </w:rPr>
        <w:t>（图5：一般公共预算财政拨款支出决算变动情况）</w:t>
      </w:r>
      <w:bookmarkStart w:id="67" w:name="_GoBack"/>
      <w:bookmarkEnd w:id="67"/>
    </w:p>
    <w:p>
      <w:pPr>
        <w:spacing w:line="600" w:lineRule="exact"/>
        <w:ind w:firstLine="642" w:firstLineChars="200"/>
        <w:outlineLvl w:val="2"/>
        <w:rPr>
          <w:rFonts w:ascii="仿宋" w:hAnsi="仿宋" w:eastAsia="仿宋"/>
          <w:b/>
          <w:color w:val="auto"/>
          <w:sz w:val="32"/>
          <w:szCs w:val="32"/>
        </w:rPr>
      </w:pPr>
      <w:bookmarkStart w:id="29" w:name="_Toc15377211"/>
      <w:r>
        <w:rPr>
          <w:rFonts w:hint="eastAsia" w:ascii="仿宋" w:hAnsi="仿宋" w:eastAsia="仿宋"/>
          <w:b/>
          <w:color w:val="auto"/>
          <w:sz w:val="32"/>
          <w:szCs w:val="32"/>
        </w:rPr>
        <w:t>（二）一般公共预算财政拨款支出决算结构情况</w:t>
      </w:r>
      <w:bookmarkEnd w:id="29"/>
    </w:p>
    <w:p>
      <w:pPr>
        <w:spacing w:line="600" w:lineRule="exact"/>
        <w:ind w:firstLine="64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2022年一般公共预算财政拨款支出1392.18万元，主要用于以下方面:</w:t>
      </w:r>
      <w:r>
        <w:rPr>
          <w:rFonts w:hint="eastAsia" w:ascii="仿宋" w:hAnsi="仿宋" w:eastAsia="仿宋"/>
          <w:b/>
          <w:color w:val="auto"/>
          <w:sz w:val="32"/>
          <w:szCs w:val="32"/>
        </w:rPr>
        <w:t>社会保障和就业</w:t>
      </w:r>
      <w:r>
        <w:rPr>
          <w:rFonts w:hint="eastAsia" w:ascii="仿宋" w:hAnsi="仿宋" w:eastAsia="仿宋"/>
          <w:b/>
          <w:bCs/>
          <w:color w:val="auto"/>
          <w:sz w:val="32"/>
          <w:szCs w:val="32"/>
        </w:rPr>
        <w:t>支出</w:t>
      </w:r>
      <w:r>
        <w:rPr>
          <w:rFonts w:hint="eastAsia" w:ascii="仿宋_GB2312" w:hAnsi="仿宋_GB2312" w:eastAsia="仿宋_GB2312" w:cs="仿宋_GB2312"/>
          <w:b w:val="0"/>
          <w:bCs w:val="0"/>
          <w:color w:val="auto"/>
          <w:kern w:val="2"/>
          <w:sz w:val="32"/>
          <w:szCs w:val="32"/>
          <w:lang w:val="en-US" w:eastAsia="zh-CN" w:bidi="ar-SA"/>
        </w:rPr>
        <w:t>1</w:t>
      </w:r>
      <w:r>
        <w:rPr>
          <w:rFonts w:hint="eastAsia" w:ascii="仿宋_GB2312" w:hAnsi="仿宋_GB2312" w:eastAsia="仿宋_GB2312" w:cs="仿宋_GB2312"/>
          <w:b w:val="0"/>
          <w:bCs w:val="0"/>
          <w:color w:val="auto"/>
          <w:kern w:val="2"/>
          <w:sz w:val="32"/>
          <w:szCs w:val="32"/>
          <w:lang w:val="en-US" w:eastAsia="zh-CN" w:bidi="ar-SA"/>
        </w:rPr>
        <w:t>285.46万元，占92%；</w:t>
      </w:r>
      <w:r>
        <w:rPr>
          <w:rFonts w:hint="eastAsia" w:ascii="仿宋" w:hAnsi="仿宋" w:eastAsia="仿宋"/>
          <w:b/>
          <w:bCs/>
          <w:color w:val="auto"/>
          <w:sz w:val="32"/>
          <w:szCs w:val="32"/>
        </w:rPr>
        <w:t>卫生健康支出</w:t>
      </w:r>
      <w:r>
        <w:rPr>
          <w:rFonts w:hint="eastAsia" w:ascii="仿宋_GB2312" w:hAnsi="仿宋_GB2312" w:eastAsia="仿宋_GB2312" w:cs="仿宋_GB2312"/>
          <w:b w:val="0"/>
          <w:bCs w:val="0"/>
          <w:color w:val="auto"/>
          <w:kern w:val="2"/>
          <w:sz w:val="32"/>
          <w:szCs w:val="32"/>
          <w:lang w:val="en-US" w:eastAsia="zh-CN" w:bidi="ar-SA"/>
        </w:rPr>
        <w:t>2</w:t>
      </w:r>
      <w:r>
        <w:rPr>
          <w:rFonts w:hint="eastAsia" w:ascii="仿宋_GB2312" w:hAnsi="仿宋_GB2312" w:eastAsia="仿宋_GB2312" w:cs="仿宋_GB2312"/>
          <w:b w:val="0"/>
          <w:bCs w:val="0"/>
          <w:color w:val="auto"/>
          <w:kern w:val="2"/>
          <w:sz w:val="32"/>
          <w:szCs w:val="32"/>
          <w:lang w:val="en-US" w:eastAsia="zh-CN" w:bidi="ar-SA"/>
        </w:rPr>
        <w:t>6.19万元，占1.8%；</w:t>
      </w:r>
      <w:r>
        <w:rPr>
          <w:rFonts w:hint="eastAsia" w:ascii="仿宋" w:hAnsi="仿宋" w:eastAsia="仿宋"/>
          <w:b/>
          <w:bCs/>
          <w:color w:val="auto"/>
          <w:sz w:val="32"/>
          <w:szCs w:val="32"/>
        </w:rPr>
        <w:t>住房保障支出</w:t>
      </w:r>
      <w:r>
        <w:rPr>
          <w:rFonts w:hint="eastAsia" w:ascii="仿宋_GB2312" w:hAnsi="仿宋_GB2312" w:eastAsia="仿宋_GB2312" w:cs="仿宋_GB2312"/>
          <w:b w:val="0"/>
          <w:bCs w:val="0"/>
          <w:color w:val="auto"/>
          <w:kern w:val="2"/>
          <w:sz w:val="32"/>
          <w:szCs w:val="32"/>
          <w:lang w:val="en-US" w:eastAsia="zh-CN" w:bidi="ar-SA"/>
        </w:rPr>
        <w:t>80.53万元，占6.2%。</w:t>
      </w:r>
    </w:p>
    <w:p>
      <w:pPr>
        <w:spacing w:line="600" w:lineRule="exact"/>
        <w:rPr>
          <w:rFonts w:ascii="仿宋" w:hAnsi="仿宋" w:eastAsia="仿宋"/>
          <w:color w:val="auto"/>
          <w:sz w:val="32"/>
          <w:szCs w:val="32"/>
        </w:rPr>
      </w:pPr>
      <w:r>
        <w:rPr>
          <w:rFonts w:hint="eastAsia" w:ascii="仿宋" w:hAnsi="仿宋" w:eastAsia="仿宋"/>
          <w:color w:val="auto"/>
          <w:sz w:val="32"/>
          <w:szCs w:val="32"/>
        </w:rPr>
        <w:drawing>
          <wp:anchor distT="0" distB="0" distL="114300" distR="114300" simplePos="0" relativeHeight="251663360" behindDoc="0" locked="0" layoutInCell="1" allowOverlap="1">
            <wp:simplePos x="0" y="0"/>
            <wp:positionH relativeFrom="column">
              <wp:posOffset>857250</wp:posOffset>
            </wp:positionH>
            <wp:positionV relativeFrom="paragraph">
              <wp:posOffset>-52705</wp:posOffset>
            </wp:positionV>
            <wp:extent cx="3648075" cy="1863725"/>
            <wp:effectExtent l="4445" t="4445" r="5080" b="17780"/>
            <wp:wrapTopAndBottom/>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ascii="仿宋" w:hAnsi="仿宋" w:eastAsia="仿宋"/>
          <w:color w:val="auto"/>
          <w:sz w:val="32"/>
          <w:szCs w:val="32"/>
        </w:rPr>
        <w:t>（图6：一般公共预算财政拨款支出决算结构）</w:t>
      </w:r>
    </w:p>
    <w:p>
      <w:pPr>
        <w:spacing w:line="600" w:lineRule="exact"/>
        <w:ind w:firstLine="642" w:firstLineChars="200"/>
        <w:outlineLvl w:val="2"/>
        <w:rPr>
          <w:rFonts w:ascii="仿宋" w:hAnsi="仿宋" w:eastAsia="仿宋"/>
          <w:b/>
          <w:color w:val="auto"/>
          <w:sz w:val="32"/>
          <w:szCs w:val="32"/>
        </w:rPr>
      </w:pPr>
      <w:bookmarkStart w:id="30" w:name="_Toc15377212"/>
      <w:r>
        <w:rPr>
          <w:rFonts w:hint="eastAsia" w:ascii="仿宋" w:hAnsi="仿宋" w:eastAsia="仿宋"/>
          <w:b/>
          <w:color w:val="auto"/>
          <w:sz w:val="32"/>
          <w:szCs w:val="32"/>
        </w:rPr>
        <w:t>（三）一般公共预算财政拨款支出决算具体情况</w:t>
      </w:r>
      <w:bookmarkEnd w:id="30"/>
    </w:p>
    <w:p>
      <w:pPr>
        <w:spacing w:line="600" w:lineRule="exact"/>
        <w:ind w:firstLine="642" w:firstLineChars="200"/>
        <w:outlineLvl w:val="2"/>
        <w:rPr>
          <w:rFonts w:ascii="仿宋" w:hAnsi="仿宋" w:eastAsia="仿宋"/>
          <w:color w:val="auto"/>
          <w:sz w:val="32"/>
          <w:szCs w:val="32"/>
        </w:rPr>
      </w:pPr>
      <w:bookmarkStart w:id="31" w:name="_Toc15377444"/>
      <w:bookmarkStart w:id="32" w:name="_Toc15378460"/>
      <w:bookmarkStart w:id="33" w:name="_Toc15377213"/>
      <w:r>
        <w:rPr>
          <w:rFonts w:hint="eastAsia" w:ascii="仿宋" w:hAnsi="仿宋" w:eastAsia="仿宋"/>
          <w:b/>
          <w:color w:val="auto"/>
          <w:sz w:val="32"/>
          <w:szCs w:val="32"/>
        </w:rPr>
        <w:t>2022年一般公共预算支出决算数为1392.18</w:t>
      </w:r>
      <w:r>
        <w:rPr>
          <w:rFonts w:hint="eastAsia" w:ascii="仿宋" w:hAnsi="仿宋" w:eastAsia="仿宋"/>
          <w:color w:val="auto"/>
          <w:sz w:val="32"/>
          <w:szCs w:val="32"/>
        </w:rPr>
        <w:t>，</w:t>
      </w:r>
      <w:r>
        <w:rPr>
          <w:rStyle w:val="14"/>
          <w:rFonts w:hint="eastAsia" w:ascii="仿宋" w:hAnsi="仿宋" w:eastAsia="仿宋"/>
          <w:bCs/>
          <w:color w:val="auto"/>
          <w:sz w:val="32"/>
          <w:szCs w:val="32"/>
        </w:rPr>
        <w:t>完成预算100</w:t>
      </w:r>
      <w:r>
        <w:rPr>
          <w:rStyle w:val="14"/>
          <w:rFonts w:ascii="仿宋" w:hAnsi="仿宋" w:eastAsia="仿宋"/>
          <w:bCs/>
          <w:color w:val="auto"/>
          <w:sz w:val="32"/>
          <w:szCs w:val="32"/>
        </w:rPr>
        <w:t>%</w:t>
      </w:r>
      <w:r>
        <w:rPr>
          <w:rStyle w:val="14"/>
          <w:rFonts w:hint="eastAsia" w:ascii="仿宋" w:hAnsi="仿宋" w:eastAsia="仿宋"/>
          <w:bCs/>
          <w:color w:val="auto"/>
          <w:sz w:val="32"/>
          <w:szCs w:val="32"/>
        </w:rPr>
        <w:t>。其中：</w:t>
      </w:r>
      <w:bookmarkEnd w:id="31"/>
      <w:bookmarkEnd w:id="32"/>
      <w:bookmarkEnd w:id="33"/>
    </w:p>
    <w:p>
      <w:pPr>
        <w:numPr>
          <w:ilvl w:val="0"/>
          <w:numId w:val="1"/>
        </w:numPr>
        <w:spacing w:line="600" w:lineRule="exact"/>
        <w:ind w:firstLine="642" w:firstLineChars="200"/>
        <w:rPr>
          <w:rFonts w:hint="eastAsia" w:ascii="仿宋_GB2312" w:hAnsi="仿宋_GB2312" w:eastAsia="仿宋_GB2312" w:cs="仿宋_GB2312"/>
          <w:b w:val="0"/>
          <w:bCs w:val="0"/>
          <w:color w:val="auto"/>
          <w:kern w:val="2"/>
          <w:sz w:val="32"/>
          <w:szCs w:val="32"/>
          <w:lang w:val="en-US" w:eastAsia="zh-CN" w:bidi="ar-SA"/>
        </w:rPr>
      </w:pPr>
      <w:r>
        <w:rPr>
          <w:rStyle w:val="14"/>
          <w:rFonts w:hint="eastAsia" w:ascii="仿宋" w:hAnsi="仿宋" w:eastAsia="仿宋"/>
          <w:bCs/>
          <w:color w:val="auto"/>
          <w:sz w:val="32"/>
          <w:szCs w:val="32"/>
        </w:rPr>
        <w:t>社会保障和就业（类）临时救助（款）流浪乞讨救助支出（项）</w:t>
      </w:r>
      <w:r>
        <w:rPr>
          <w:rStyle w:val="14"/>
          <w:rFonts w:ascii="仿宋" w:hAnsi="仿宋" w:eastAsia="仿宋"/>
          <w:bCs/>
          <w:color w:val="auto"/>
          <w:sz w:val="32"/>
          <w:szCs w:val="32"/>
        </w:rPr>
        <w:t>:</w:t>
      </w:r>
      <w:r>
        <w:rPr>
          <w:rStyle w:val="14"/>
          <w:rFonts w:ascii="仿宋" w:hAnsi="仿宋" w:eastAsia="仿宋"/>
          <w:b w:val="0"/>
          <w:bCs/>
          <w:color w:val="auto"/>
          <w:sz w:val="32"/>
          <w:szCs w:val="32"/>
        </w:rPr>
        <w:t xml:space="preserve"> </w:t>
      </w:r>
      <w:r>
        <w:rPr>
          <w:rFonts w:hint="eastAsia" w:ascii="仿宋_GB2312" w:hAnsi="仿宋_GB2312" w:eastAsia="仿宋_GB2312" w:cs="仿宋_GB2312"/>
          <w:b w:val="0"/>
          <w:bCs w:val="0"/>
          <w:color w:val="auto"/>
          <w:kern w:val="2"/>
          <w:sz w:val="32"/>
          <w:szCs w:val="32"/>
          <w:lang w:val="en-US" w:eastAsia="zh-CN" w:bidi="ar-SA"/>
        </w:rPr>
        <w:t>支出决算为1076.95万元，完成预算100%。</w:t>
      </w:r>
    </w:p>
    <w:p>
      <w:pPr>
        <w:spacing w:line="600" w:lineRule="exact"/>
        <w:ind w:firstLine="642" w:firstLineChars="200"/>
        <w:rPr>
          <w:rFonts w:hint="eastAsia" w:ascii="仿宋_GB2312" w:hAnsi="仿宋_GB2312" w:eastAsia="仿宋_GB2312" w:cs="仿宋_GB2312"/>
          <w:b w:val="0"/>
          <w:bCs w:val="0"/>
          <w:color w:val="auto"/>
          <w:kern w:val="2"/>
          <w:sz w:val="32"/>
          <w:szCs w:val="32"/>
          <w:lang w:val="en-US" w:eastAsia="zh-CN" w:bidi="ar-SA"/>
        </w:rPr>
      </w:pPr>
      <w:r>
        <w:rPr>
          <w:rStyle w:val="14"/>
          <w:rFonts w:hint="eastAsia" w:ascii="仿宋" w:hAnsi="仿宋" w:eastAsia="仿宋"/>
          <w:bCs/>
          <w:color w:val="auto"/>
          <w:sz w:val="32"/>
          <w:szCs w:val="32"/>
        </w:rPr>
        <w:t>2</w:t>
      </w:r>
      <w:r>
        <w:rPr>
          <w:rStyle w:val="14"/>
          <w:rFonts w:ascii="仿宋" w:hAnsi="仿宋" w:eastAsia="仿宋"/>
          <w:bCs/>
          <w:color w:val="auto"/>
          <w:sz w:val="32"/>
          <w:szCs w:val="32"/>
        </w:rPr>
        <w:t>.</w:t>
      </w:r>
      <w:r>
        <w:rPr>
          <w:rStyle w:val="14"/>
          <w:rFonts w:hint="eastAsia" w:ascii="仿宋" w:hAnsi="仿宋" w:eastAsia="仿宋"/>
          <w:bCs/>
          <w:color w:val="auto"/>
          <w:sz w:val="32"/>
          <w:szCs w:val="32"/>
        </w:rPr>
        <w:t>社会保障和就业（类）其它社会保障和就业支出（款）其它社会保障和就业支出（项）</w:t>
      </w:r>
      <w:r>
        <w:rPr>
          <w:rStyle w:val="14"/>
          <w:rFonts w:ascii="仿宋" w:hAnsi="仿宋" w:eastAsia="仿宋"/>
          <w:bCs/>
          <w:color w:val="auto"/>
          <w:sz w:val="32"/>
          <w:szCs w:val="32"/>
        </w:rPr>
        <w:t>:</w:t>
      </w:r>
      <w:r>
        <w:rPr>
          <w:rStyle w:val="14"/>
          <w:rFonts w:ascii="仿宋" w:hAnsi="仿宋" w:eastAsia="仿宋"/>
          <w:b w:val="0"/>
          <w:bCs/>
          <w:color w:val="auto"/>
          <w:sz w:val="32"/>
          <w:szCs w:val="32"/>
        </w:rPr>
        <w:t xml:space="preserve"> </w:t>
      </w:r>
      <w:r>
        <w:rPr>
          <w:rFonts w:hint="eastAsia" w:ascii="仿宋_GB2312" w:hAnsi="仿宋_GB2312" w:eastAsia="仿宋_GB2312" w:cs="仿宋_GB2312"/>
          <w:b w:val="0"/>
          <w:bCs w:val="0"/>
          <w:color w:val="auto"/>
          <w:kern w:val="2"/>
          <w:sz w:val="32"/>
          <w:szCs w:val="32"/>
          <w:lang w:val="en-US" w:eastAsia="zh-CN" w:bidi="ar-SA"/>
        </w:rPr>
        <w:t>支出决算为149.58万元，完成预算100%。</w:t>
      </w:r>
    </w:p>
    <w:p>
      <w:pPr>
        <w:spacing w:line="600" w:lineRule="exact"/>
        <w:ind w:firstLine="642" w:firstLineChars="200"/>
        <w:rPr>
          <w:rFonts w:hint="eastAsia" w:ascii="仿宋_GB2312" w:hAnsi="仿宋_GB2312" w:eastAsia="仿宋_GB2312" w:cs="仿宋_GB2312"/>
          <w:b w:val="0"/>
          <w:bCs w:val="0"/>
          <w:color w:val="auto"/>
          <w:kern w:val="2"/>
          <w:sz w:val="32"/>
          <w:szCs w:val="32"/>
          <w:lang w:val="en-US" w:eastAsia="zh-CN" w:bidi="ar-SA"/>
        </w:rPr>
      </w:pPr>
      <w:r>
        <w:rPr>
          <w:rStyle w:val="14"/>
          <w:rFonts w:hint="eastAsia" w:ascii="仿宋" w:hAnsi="仿宋" w:eastAsia="仿宋"/>
          <w:bCs/>
          <w:color w:val="auto"/>
          <w:sz w:val="32"/>
          <w:szCs w:val="32"/>
        </w:rPr>
        <w:t>3</w:t>
      </w:r>
      <w:r>
        <w:rPr>
          <w:rStyle w:val="14"/>
          <w:rFonts w:ascii="仿宋" w:hAnsi="仿宋" w:eastAsia="仿宋"/>
          <w:bCs/>
          <w:color w:val="auto"/>
          <w:sz w:val="32"/>
          <w:szCs w:val="32"/>
        </w:rPr>
        <w:t>.</w:t>
      </w:r>
      <w:r>
        <w:rPr>
          <w:rStyle w:val="14"/>
          <w:rFonts w:hint="eastAsia" w:ascii="仿宋" w:hAnsi="仿宋" w:eastAsia="仿宋"/>
          <w:bCs/>
          <w:color w:val="auto"/>
          <w:sz w:val="32"/>
          <w:szCs w:val="32"/>
        </w:rPr>
        <w:t>社会保障和就业（类）行政事业单位养老支出（款）机关事业单位基本养老保险缴费支出（项）</w:t>
      </w:r>
      <w:r>
        <w:rPr>
          <w:rStyle w:val="14"/>
          <w:rFonts w:ascii="仿宋" w:hAnsi="仿宋" w:eastAsia="仿宋"/>
          <w:bCs/>
          <w:color w:val="auto"/>
          <w:sz w:val="32"/>
          <w:szCs w:val="32"/>
        </w:rPr>
        <w:t>:</w:t>
      </w:r>
      <w:r>
        <w:rPr>
          <w:rStyle w:val="14"/>
          <w:rFonts w:ascii="仿宋" w:hAnsi="仿宋" w:eastAsia="仿宋"/>
          <w:b w:val="0"/>
          <w:bCs/>
          <w:color w:val="auto"/>
          <w:sz w:val="32"/>
          <w:szCs w:val="32"/>
        </w:rPr>
        <w:t xml:space="preserve"> </w:t>
      </w:r>
      <w:r>
        <w:rPr>
          <w:rFonts w:hint="eastAsia" w:ascii="仿宋_GB2312" w:hAnsi="仿宋_GB2312" w:eastAsia="仿宋_GB2312" w:cs="仿宋_GB2312"/>
          <w:b w:val="0"/>
          <w:bCs w:val="0"/>
          <w:color w:val="auto"/>
          <w:kern w:val="2"/>
          <w:sz w:val="32"/>
          <w:szCs w:val="32"/>
          <w:lang w:val="en-US" w:eastAsia="zh-CN" w:bidi="ar-SA"/>
        </w:rPr>
        <w:t>支出决算为53.02万元，完成预算100%。</w:t>
      </w:r>
    </w:p>
    <w:p>
      <w:pPr>
        <w:spacing w:line="600" w:lineRule="exact"/>
        <w:ind w:firstLine="642" w:firstLineChars="200"/>
        <w:rPr>
          <w:rFonts w:hint="eastAsia" w:ascii="仿宋_GB2312" w:hAnsi="仿宋_GB2312" w:eastAsia="仿宋_GB2312" w:cs="仿宋_GB2312"/>
          <w:b w:val="0"/>
          <w:bCs w:val="0"/>
          <w:color w:val="auto"/>
          <w:kern w:val="2"/>
          <w:sz w:val="32"/>
          <w:szCs w:val="32"/>
          <w:lang w:val="en-US" w:eastAsia="zh-CN" w:bidi="ar-SA"/>
        </w:rPr>
      </w:pPr>
      <w:r>
        <w:rPr>
          <w:rStyle w:val="14"/>
          <w:rFonts w:hint="eastAsia" w:ascii="仿宋" w:hAnsi="仿宋" w:eastAsia="仿宋"/>
          <w:bCs/>
          <w:color w:val="auto"/>
          <w:sz w:val="32"/>
          <w:szCs w:val="32"/>
        </w:rPr>
        <w:t>4</w:t>
      </w:r>
      <w:r>
        <w:rPr>
          <w:rStyle w:val="14"/>
          <w:rFonts w:ascii="仿宋" w:hAnsi="仿宋" w:eastAsia="仿宋"/>
          <w:bCs/>
          <w:color w:val="auto"/>
          <w:sz w:val="32"/>
          <w:szCs w:val="32"/>
        </w:rPr>
        <w:t>.</w:t>
      </w:r>
      <w:r>
        <w:rPr>
          <w:rStyle w:val="14"/>
          <w:rFonts w:hint="eastAsia" w:ascii="仿宋" w:hAnsi="仿宋" w:eastAsia="仿宋"/>
          <w:bCs/>
          <w:color w:val="auto"/>
          <w:sz w:val="32"/>
          <w:szCs w:val="32"/>
        </w:rPr>
        <w:t>社会保障和就业（类）行政事业单位养老支出（款）机关事业单位职业年金缴费支出（项）</w:t>
      </w:r>
      <w:r>
        <w:rPr>
          <w:rStyle w:val="14"/>
          <w:rFonts w:ascii="仿宋" w:hAnsi="仿宋" w:eastAsia="仿宋"/>
          <w:bCs/>
          <w:color w:val="auto"/>
          <w:sz w:val="32"/>
          <w:szCs w:val="32"/>
        </w:rPr>
        <w:t>:</w:t>
      </w:r>
      <w:r>
        <w:rPr>
          <w:rStyle w:val="14"/>
          <w:rFonts w:ascii="仿宋" w:hAnsi="仿宋" w:eastAsia="仿宋"/>
          <w:b w:val="0"/>
          <w:bCs/>
          <w:color w:val="auto"/>
          <w:sz w:val="32"/>
          <w:szCs w:val="32"/>
        </w:rPr>
        <w:t xml:space="preserve"> </w:t>
      </w:r>
      <w:r>
        <w:rPr>
          <w:rFonts w:hint="eastAsia" w:ascii="仿宋_GB2312" w:hAnsi="仿宋_GB2312" w:eastAsia="仿宋_GB2312" w:cs="仿宋_GB2312"/>
          <w:b w:val="0"/>
          <w:bCs w:val="0"/>
          <w:color w:val="auto"/>
          <w:kern w:val="2"/>
          <w:sz w:val="32"/>
          <w:szCs w:val="32"/>
          <w:lang w:val="en-US" w:eastAsia="zh-CN" w:bidi="ar-SA"/>
        </w:rPr>
        <w:t>支出决算为5.91万元，完成预算100%。</w:t>
      </w:r>
    </w:p>
    <w:p>
      <w:pPr>
        <w:spacing w:line="600" w:lineRule="exact"/>
        <w:ind w:firstLine="642" w:firstLineChars="200"/>
        <w:rPr>
          <w:rFonts w:hint="eastAsia" w:ascii="仿宋_GB2312" w:hAnsi="仿宋_GB2312" w:eastAsia="仿宋_GB2312" w:cs="仿宋_GB2312"/>
          <w:b w:val="0"/>
          <w:bCs w:val="0"/>
          <w:color w:val="auto"/>
          <w:kern w:val="2"/>
          <w:sz w:val="32"/>
          <w:szCs w:val="32"/>
          <w:lang w:val="en-US" w:eastAsia="zh-CN" w:bidi="ar-SA"/>
        </w:rPr>
      </w:pPr>
      <w:r>
        <w:rPr>
          <w:rStyle w:val="14"/>
          <w:rFonts w:hint="eastAsia" w:ascii="仿宋" w:hAnsi="仿宋" w:eastAsia="仿宋"/>
          <w:bCs/>
          <w:color w:val="auto"/>
          <w:sz w:val="32"/>
          <w:szCs w:val="32"/>
        </w:rPr>
        <w:t>5</w:t>
      </w:r>
      <w:r>
        <w:rPr>
          <w:rStyle w:val="14"/>
          <w:rFonts w:ascii="仿宋" w:hAnsi="仿宋" w:eastAsia="仿宋"/>
          <w:bCs/>
          <w:color w:val="auto"/>
          <w:sz w:val="32"/>
          <w:szCs w:val="32"/>
        </w:rPr>
        <w:t>.</w:t>
      </w:r>
      <w:r>
        <w:rPr>
          <w:rFonts w:hint="eastAsia" w:ascii="仿宋" w:hAnsi="仿宋" w:eastAsia="仿宋"/>
          <w:b/>
          <w:bCs/>
          <w:color w:val="auto"/>
          <w:sz w:val="32"/>
          <w:szCs w:val="32"/>
        </w:rPr>
        <w:t>卫生健康</w:t>
      </w:r>
      <w:r>
        <w:rPr>
          <w:rStyle w:val="14"/>
          <w:rFonts w:hint="eastAsia" w:ascii="仿宋" w:hAnsi="仿宋" w:eastAsia="仿宋"/>
          <w:bCs/>
          <w:color w:val="auto"/>
          <w:sz w:val="32"/>
          <w:szCs w:val="32"/>
        </w:rPr>
        <w:t>（类）行政事业单位医疗（款）事业单位医疗（项）</w:t>
      </w:r>
      <w:r>
        <w:rPr>
          <w:rStyle w:val="14"/>
          <w:rFonts w:ascii="仿宋" w:hAnsi="仿宋" w:eastAsia="仿宋"/>
          <w:bCs/>
          <w:color w:val="auto"/>
          <w:sz w:val="32"/>
          <w:szCs w:val="32"/>
        </w:rPr>
        <w:t>:</w:t>
      </w:r>
      <w:r>
        <w:rPr>
          <w:rFonts w:hint="eastAsia" w:ascii="仿宋_GB2312" w:hAnsi="仿宋_GB2312" w:eastAsia="仿宋_GB2312" w:cs="仿宋_GB2312"/>
          <w:b w:val="0"/>
          <w:bCs w:val="0"/>
          <w:color w:val="auto"/>
          <w:kern w:val="2"/>
          <w:sz w:val="32"/>
          <w:szCs w:val="32"/>
          <w:lang w:val="en-US" w:eastAsia="zh-CN" w:bidi="ar-SA"/>
        </w:rPr>
        <w:t>支出决算为26.19万元，完成预算100%。</w:t>
      </w:r>
    </w:p>
    <w:p>
      <w:pPr>
        <w:spacing w:line="600" w:lineRule="exact"/>
        <w:ind w:firstLine="640" w:firstLineChars="200"/>
        <w:rPr>
          <w:rFonts w:hint="eastAsia" w:ascii="仿宋_GB2312" w:hAnsi="仿宋_GB2312" w:eastAsia="仿宋_GB2312" w:cs="仿宋_GB2312"/>
          <w:b w:val="0"/>
          <w:bCs w:val="0"/>
          <w:color w:val="auto"/>
          <w:kern w:val="2"/>
          <w:sz w:val="32"/>
          <w:szCs w:val="32"/>
          <w:lang w:val="en-US" w:eastAsia="zh-CN" w:bidi="ar-SA"/>
        </w:rPr>
      </w:pPr>
      <w:r>
        <w:rPr>
          <w:rFonts w:hint="eastAsia" w:ascii="仿宋" w:hAnsi="仿宋" w:eastAsia="仿宋"/>
          <w:color w:val="auto"/>
          <w:sz w:val="32"/>
          <w:szCs w:val="32"/>
        </w:rPr>
        <w:t>6.</w:t>
      </w:r>
      <w:r>
        <w:rPr>
          <w:rStyle w:val="14"/>
          <w:rFonts w:hint="eastAsia" w:ascii="仿宋" w:hAnsi="仿宋" w:eastAsia="仿宋"/>
          <w:bCs/>
          <w:color w:val="auto"/>
          <w:sz w:val="32"/>
          <w:szCs w:val="32"/>
        </w:rPr>
        <w:t>住房保障支出（类）住房改革支出（款）住房公积金（项）：</w:t>
      </w:r>
      <w:r>
        <w:rPr>
          <w:rFonts w:hint="eastAsia" w:ascii="仿宋_GB2312" w:hAnsi="仿宋_GB2312" w:eastAsia="仿宋_GB2312" w:cs="仿宋_GB2312"/>
          <w:b w:val="0"/>
          <w:bCs w:val="0"/>
          <w:color w:val="auto"/>
          <w:kern w:val="2"/>
          <w:sz w:val="32"/>
          <w:szCs w:val="32"/>
          <w:lang w:val="en-US" w:eastAsia="zh-CN" w:bidi="ar-SA"/>
        </w:rPr>
        <w:t>支出决算为80.53万元，完成预算100%。</w:t>
      </w:r>
    </w:p>
    <w:p>
      <w:pPr>
        <w:tabs>
          <w:tab w:val="right" w:pos="8306"/>
        </w:tabs>
        <w:spacing w:line="600" w:lineRule="exact"/>
        <w:ind w:firstLine="640"/>
        <w:outlineLvl w:val="1"/>
        <w:rPr>
          <w:rStyle w:val="25"/>
          <w:color w:val="auto"/>
        </w:rPr>
      </w:pPr>
      <w:bookmarkStart w:id="34" w:name="_Toc15377214"/>
      <w:bookmarkStart w:id="35" w:name="_Toc15396608"/>
      <w:r>
        <w:rPr>
          <w:rFonts w:hint="eastAsia" w:ascii="黑体" w:eastAsia="黑体"/>
          <w:color w:val="auto"/>
          <w:sz w:val="32"/>
          <w:szCs w:val="32"/>
        </w:rPr>
        <w:t>六</w:t>
      </w:r>
      <w:r>
        <w:rPr>
          <w:rFonts w:hint="eastAsia" w:ascii="黑体" w:eastAsia="黑体"/>
          <w:b/>
          <w:color w:val="auto"/>
          <w:sz w:val="32"/>
          <w:szCs w:val="32"/>
        </w:rPr>
        <w:t>、</w:t>
      </w:r>
      <w:r>
        <w:rPr>
          <w:rFonts w:hint="eastAsia" w:ascii="黑体" w:hAnsi="黑体" w:eastAsia="黑体"/>
          <w:b/>
          <w:color w:val="auto"/>
          <w:sz w:val="32"/>
          <w:szCs w:val="32"/>
        </w:rPr>
        <w:t>一</w:t>
      </w:r>
      <w:r>
        <w:rPr>
          <w:rStyle w:val="25"/>
          <w:rFonts w:hint="eastAsia" w:ascii="黑体" w:hAnsi="黑体" w:eastAsia="黑体"/>
          <w:b w:val="0"/>
          <w:color w:val="auto"/>
        </w:rPr>
        <w:t>般公共预算财政拨款基本支出决算情况说明</w:t>
      </w:r>
      <w:bookmarkEnd w:id="34"/>
      <w:bookmarkEnd w:id="35"/>
      <w:r>
        <w:rPr>
          <w:rStyle w:val="25"/>
          <w:rFonts w:ascii="黑体" w:hAnsi="黑体" w:eastAsia="黑体"/>
          <w:b w:val="0"/>
          <w:color w:val="auto"/>
        </w:rPr>
        <w:tab/>
      </w:r>
    </w:p>
    <w:p>
      <w:pPr>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2022年一般公共预算财政拨款基本支出967.6万元，其中：</w:t>
      </w:r>
    </w:p>
    <w:p>
      <w:pPr>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人员经费909.41万元，主要包括：基本工资、津贴补贴、绩效工资、机关事业单位基本养老保险缴费、职业年金缴费、其他社会保障缴费、其他工资福利支出、生活补助、住房公积金、其他对个人和家庭的补助支出等。</w:t>
      </w:r>
      <w:r>
        <w:rPr>
          <w:rFonts w:hint="eastAsia" w:ascii="仿宋_GB2312" w:hAnsi="仿宋_GB2312" w:eastAsia="仿宋_GB2312" w:cs="仿宋_GB2312"/>
          <w:b w:val="0"/>
          <w:bCs w:val="0"/>
          <w:color w:val="auto"/>
          <w:kern w:val="2"/>
          <w:sz w:val="32"/>
          <w:szCs w:val="32"/>
          <w:lang w:val="en-US" w:eastAsia="zh-CN" w:bidi="ar-SA"/>
        </w:rPr>
        <w:br w:type="textWrapping"/>
      </w:r>
      <w:r>
        <w:rPr>
          <w:rFonts w:hint="eastAsia" w:ascii="仿宋_GB2312" w:hAnsi="仿宋_GB2312" w:eastAsia="仿宋_GB2312" w:cs="仿宋_GB2312"/>
          <w:b w:val="0"/>
          <w:bCs w:val="0"/>
          <w:color w:val="auto"/>
          <w:kern w:val="2"/>
          <w:sz w:val="32"/>
          <w:szCs w:val="32"/>
          <w:lang w:val="en-US" w:eastAsia="zh-CN" w:bidi="ar-SA"/>
        </w:rPr>
        <w:t>　　公用经费58.19万元，主要包括：办公费、咨询费、水费、电费、邮电费、物业管理费、差旅费、维修（护）费、公务接待费、劳务费、工会经费、福利费、公务用车运行维护费、其他商品和服务支出等。</w:t>
      </w:r>
    </w:p>
    <w:p>
      <w:pPr>
        <w:spacing w:line="600" w:lineRule="exact"/>
        <w:ind w:firstLine="640"/>
        <w:outlineLvl w:val="1"/>
        <w:rPr>
          <w:rStyle w:val="25"/>
          <w:rFonts w:ascii="黑体" w:hAnsi="黑体" w:eastAsia="黑体"/>
          <w:b w:val="0"/>
          <w:color w:val="auto"/>
        </w:rPr>
      </w:pPr>
      <w:bookmarkStart w:id="36" w:name="_Toc15377215"/>
      <w:bookmarkStart w:id="37" w:name="_Toc15396609"/>
      <w:r>
        <w:rPr>
          <w:rFonts w:hint="eastAsia" w:ascii="黑体" w:eastAsia="黑体"/>
          <w:color w:val="auto"/>
          <w:sz w:val="32"/>
          <w:szCs w:val="32"/>
        </w:rPr>
        <w:t>七、</w:t>
      </w:r>
      <w:r>
        <w:rPr>
          <w:rStyle w:val="25"/>
          <w:rFonts w:hint="eastAsia" w:ascii="黑体" w:hAnsi="黑体" w:eastAsia="黑体"/>
          <w:b w:val="0"/>
          <w:color w:val="auto"/>
        </w:rPr>
        <w:t>财政拨款</w:t>
      </w:r>
      <w:r>
        <w:rPr>
          <w:rStyle w:val="25"/>
          <w:rFonts w:hint="eastAsia" w:ascii="黑体" w:hAnsi="黑体" w:eastAsia="黑体"/>
          <w:color w:val="auto"/>
        </w:rPr>
        <w:t>“</w:t>
      </w:r>
      <w:r>
        <w:rPr>
          <w:rStyle w:val="25"/>
          <w:rFonts w:hint="eastAsia" w:ascii="黑体" w:hAnsi="黑体" w:eastAsia="黑体"/>
          <w:b w:val="0"/>
          <w:color w:val="auto"/>
        </w:rPr>
        <w:t>三公”经费支出决算情况说明</w:t>
      </w:r>
      <w:bookmarkEnd w:id="36"/>
      <w:bookmarkEnd w:id="37"/>
    </w:p>
    <w:p>
      <w:pPr>
        <w:spacing w:line="600" w:lineRule="exact"/>
        <w:ind w:firstLine="640"/>
        <w:outlineLvl w:val="2"/>
        <w:rPr>
          <w:rFonts w:ascii="仿宋" w:hAnsi="仿宋" w:eastAsia="仿宋"/>
          <w:b/>
          <w:color w:val="auto"/>
          <w:sz w:val="32"/>
          <w:szCs w:val="32"/>
        </w:rPr>
      </w:pPr>
      <w:bookmarkStart w:id="38" w:name="_Toc15377216"/>
      <w:r>
        <w:rPr>
          <w:rFonts w:hint="eastAsia" w:ascii="仿宋" w:hAnsi="仿宋" w:eastAsia="仿宋"/>
          <w:b/>
          <w:color w:val="auto"/>
          <w:sz w:val="32"/>
          <w:szCs w:val="32"/>
        </w:rPr>
        <w:t>（一）“三公”经费财政拨款支出决算总体情况说明</w:t>
      </w:r>
      <w:bookmarkEnd w:id="38"/>
    </w:p>
    <w:p>
      <w:pPr>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2022年“三公”经费财政拨款支出决算为3.81万元，完成预算53%，较上年减少30.05万元，下降88%。决算数小于预算数的主要原因是因为新冠疫情严重，我站救助业务无法正常开展，致使接待人数大幅减少，接待费预算3.08万元，实际支出0.55万元。</w:t>
      </w:r>
    </w:p>
    <w:p>
      <w:pPr>
        <w:spacing w:line="600" w:lineRule="exact"/>
        <w:ind w:firstLine="640"/>
        <w:rPr>
          <w:rFonts w:ascii="仿宋" w:hAnsi="仿宋" w:eastAsia="仿宋"/>
          <w:b/>
          <w:color w:val="auto"/>
          <w:sz w:val="32"/>
          <w:szCs w:val="32"/>
        </w:rPr>
      </w:pPr>
      <w:r>
        <w:rPr>
          <w:rFonts w:hint="eastAsia" w:ascii="仿宋" w:hAnsi="仿宋" w:eastAsia="仿宋"/>
          <w:b/>
          <w:color w:val="auto"/>
          <w:sz w:val="32"/>
          <w:szCs w:val="32"/>
        </w:rPr>
        <w:t>（注：上述“预算”口径为全年预算数，包括一般公共预算和政府性基金预算财政拨款支出决算情况。）</w:t>
      </w:r>
    </w:p>
    <w:p>
      <w:pPr>
        <w:spacing w:line="600" w:lineRule="exact"/>
        <w:ind w:firstLine="640"/>
        <w:outlineLvl w:val="2"/>
        <w:rPr>
          <w:rFonts w:ascii="仿宋" w:hAnsi="仿宋" w:eastAsia="仿宋"/>
          <w:b/>
          <w:color w:val="auto"/>
          <w:sz w:val="32"/>
          <w:szCs w:val="32"/>
        </w:rPr>
      </w:pPr>
      <w:bookmarkStart w:id="39" w:name="_Toc15377217"/>
      <w:r>
        <w:rPr>
          <w:rFonts w:hint="eastAsia" w:ascii="仿宋" w:hAnsi="仿宋" w:eastAsia="仿宋"/>
          <w:b/>
          <w:color w:val="auto"/>
          <w:sz w:val="32"/>
          <w:szCs w:val="32"/>
        </w:rPr>
        <w:t>（二）“三公”经费财政拨款支出决算具体情况说明</w:t>
      </w:r>
      <w:bookmarkEnd w:id="39"/>
    </w:p>
    <w:p>
      <w:pPr>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2022年“三公”经费财政拨款支出决算中，因公出国（境）费支出决算0万元，占0%；公务用车购置及运行维护费支出决算3.26万元，占85%；公务接待费支出决算0.55万元，占15%。具体情况如下：</w:t>
      </w:r>
    </w:p>
    <w:p>
      <w:pPr>
        <w:pStyle w:val="2"/>
        <w:spacing w:before="93"/>
        <w:rPr>
          <w:rFonts w:ascii="仿宋" w:hAnsi="仿宋" w:eastAsia="仿宋"/>
          <w:color w:val="auto"/>
          <w:sz w:val="32"/>
          <w:szCs w:val="32"/>
        </w:rPr>
      </w:pPr>
      <w:r>
        <w:rPr>
          <w:rFonts w:hint="eastAsia" w:ascii="仿宋" w:hAnsi="仿宋" w:eastAsia="仿宋"/>
          <w:color w:val="auto"/>
          <w:sz w:val="32"/>
          <w:szCs w:val="32"/>
        </w:rPr>
        <w:drawing>
          <wp:anchor distT="0" distB="0" distL="114300" distR="114300" simplePos="0" relativeHeight="251664384" behindDoc="0" locked="0" layoutInCell="1" allowOverlap="1">
            <wp:simplePos x="0" y="0"/>
            <wp:positionH relativeFrom="column">
              <wp:posOffset>718820</wp:posOffset>
            </wp:positionH>
            <wp:positionV relativeFrom="paragraph">
              <wp:posOffset>88900</wp:posOffset>
            </wp:positionV>
            <wp:extent cx="3505835" cy="1720850"/>
            <wp:effectExtent l="4445" t="4445" r="13970" b="825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hint="eastAsia" w:ascii="仿宋" w:hAnsi="仿宋" w:eastAsia="仿宋"/>
          <w:color w:val="auto"/>
          <w:sz w:val="32"/>
          <w:szCs w:val="32"/>
        </w:rPr>
        <w:t>（图7：“三公”经费财政拨款支出结构）</w:t>
      </w:r>
    </w:p>
    <w:p>
      <w:pPr>
        <w:spacing w:line="600" w:lineRule="exact"/>
        <w:ind w:firstLine="640"/>
        <w:rPr>
          <w:rFonts w:hint="eastAsia" w:ascii="仿宋_GB2312" w:hAnsi="仿宋_GB2312" w:eastAsia="仿宋_GB2312" w:cs="仿宋_GB2312"/>
          <w:b w:val="0"/>
          <w:bCs w:val="0"/>
          <w:color w:val="auto"/>
          <w:kern w:val="2"/>
          <w:sz w:val="32"/>
          <w:szCs w:val="32"/>
          <w:lang w:val="en-US" w:eastAsia="zh-CN" w:bidi="ar-SA"/>
        </w:rPr>
      </w:pPr>
      <w:r>
        <w:rPr>
          <w:rFonts w:ascii="仿宋_GB2312" w:eastAsia="仿宋_GB2312"/>
          <w:b/>
          <w:color w:val="auto"/>
          <w:sz w:val="32"/>
          <w:szCs w:val="32"/>
        </w:rPr>
        <w:t>1.</w:t>
      </w:r>
      <w:r>
        <w:rPr>
          <w:rFonts w:hint="eastAsia" w:ascii="仿宋_GB2312" w:eastAsia="仿宋_GB2312"/>
          <w:b/>
          <w:color w:val="auto"/>
          <w:sz w:val="32"/>
          <w:szCs w:val="32"/>
        </w:rPr>
        <w:t>因公出国（境）经费支出</w:t>
      </w:r>
      <w:r>
        <w:rPr>
          <w:rFonts w:hint="eastAsia" w:ascii="仿宋_GB2312" w:hAnsi="仿宋_GB2312" w:eastAsia="仿宋_GB2312" w:cs="仿宋_GB2312"/>
          <w:b w:val="0"/>
          <w:bCs w:val="0"/>
          <w:color w:val="auto"/>
          <w:kern w:val="2"/>
          <w:sz w:val="32"/>
          <w:szCs w:val="32"/>
          <w:lang w:val="en-US" w:eastAsia="zh-CN" w:bidi="ar-SA"/>
        </w:rPr>
        <w:t>0万元，年初未安排预算。因公出国（境）支出决算较2021年无变化。</w:t>
      </w:r>
    </w:p>
    <w:p>
      <w:pPr>
        <w:spacing w:line="600" w:lineRule="exact"/>
        <w:ind w:firstLine="640"/>
        <w:rPr>
          <w:rFonts w:hint="eastAsia" w:ascii="仿宋_GB2312" w:hAnsi="仿宋_GB2312" w:eastAsia="仿宋_GB2312" w:cs="仿宋_GB2312"/>
          <w:b w:val="0"/>
          <w:bCs w:val="0"/>
          <w:color w:val="auto"/>
          <w:kern w:val="2"/>
          <w:sz w:val="32"/>
          <w:szCs w:val="32"/>
          <w:lang w:val="en-US" w:eastAsia="zh-CN" w:bidi="ar-SA"/>
        </w:rPr>
      </w:pPr>
      <w:r>
        <w:rPr>
          <w:rFonts w:ascii="仿宋_GB2312" w:eastAsia="仿宋_GB2312"/>
          <w:b/>
          <w:color w:val="auto"/>
          <w:sz w:val="32"/>
          <w:szCs w:val="32"/>
        </w:rPr>
        <w:t>2.</w:t>
      </w:r>
      <w:r>
        <w:rPr>
          <w:rFonts w:hint="eastAsia" w:ascii="仿宋_GB2312" w:eastAsia="仿宋_GB2312"/>
          <w:b/>
          <w:color w:val="auto"/>
          <w:sz w:val="32"/>
          <w:szCs w:val="32"/>
        </w:rPr>
        <w:t>公务用车购置及运行维护费支出</w:t>
      </w:r>
      <w:r>
        <w:rPr>
          <w:rFonts w:hint="eastAsia" w:ascii="仿宋_GB2312" w:hAnsi="仿宋_GB2312" w:eastAsia="仿宋_GB2312" w:cs="仿宋_GB2312"/>
          <w:b w:val="0"/>
          <w:bCs w:val="0"/>
          <w:color w:val="auto"/>
          <w:kern w:val="2"/>
          <w:sz w:val="32"/>
          <w:szCs w:val="32"/>
          <w:lang w:val="en-US" w:eastAsia="zh-CN" w:bidi="ar-SA"/>
        </w:rPr>
        <w:t>3.26万元,完成预算80%。公务用车购置及运行维护费支出决算比2021年减少27.56万元，下降89%。主要原因是21年购置一辆救助车，22年未购置车辆。</w:t>
      </w:r>
    </w:p>
    <w:p>
      <w:pPr>
        <w:spacing w:line="600" w:lineRule="exact"/>
        <w:ind w:firstLine="640" w:firstLineChars="20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eastAsia="仿宋_GB2312"/>
          <w:color w:val="auto"/>
          <w:sz w:val="32"/>
          <w:szCs w:val="32"/>
        </w:rPr>
        <w:t>其中：</w:t>
      </w:r>
      <w:r>
        <w:rPr>
          <w:rFonts w:hint="eastAsia" w:ascii="仿宋_GB2312" w:eastAsia="仿宋_GB2312"/>
          <w:b/>
          <w:color w:val="auto"/>
          <w:sz w:val="32"/>
          <w:szCs w:val="32"/>
        </w:rPr>
        <w:t>公务用车购置支出</w:t>
      </w:r>
      <w:r>
        <w:rPr>
          <w:rFonts w:hint="eastAsia" w:ascii="仿宋_GB2312" w:hAnsi="仿宋_GB2312" w:eastAsia="仿宋_GB2312" w:cs="仿宋_GB2312"/>
          <w:b w:val="0"/>
          <w:bCs w:val="0"/>
          <w:color w:val="auto"/>
          <w:kern w:val="2"/>
          <w:sz w:val="32"/>
          <w:szCs w:val="32"/>
          <w:lang w:val="en-US" w:eastAsia="zh-CN" w:bidi="ar-SA"/>
        </w:rPr>
        <w:t>0万元。截至2022年12月底，单位共有公务用车4辆，其中：轿车1辆、载客汽车3辆。</w:t>
      </w:r>
    </w:p>
    <w:p>
      <w:pPr>
        <w:spacing w:line="600" w:lineRule="exact"/>
        <w:ind w:firstLine="640"/>
        <w:rPr>
          <w:rFonts w:ascii="仿宋_GB2312" w:eastAsia="仿宋_GB2312"/>
          <w:color w:val="auto"/>
          <w:sz w:val="32"/>
          <w:szCs w:val="32"/>
        </w:rPr>
      </w:pPr>
      <w:r>
        <w:rPr>
          <w:rFonts w:hint="eastAsia" w:ascii="仿宋_GB2312" w:eastAsia="仿宋_GB2312"/>
          <w:b/>
          <w:color w:val="auto"/>
          <w:sz w:val="32"/>
          <w:szCs w:val="32"/>
        </w:rPr>
        <w:t>公务用车运行维护费支出</w:t>
      </w:r>
      <w:r>
        <w:rPr>
          <w:rFonts w:hint="eastAsia" w:ascii="仿宋_GB2312" w:hAnsi="仿宋_GB2312" w:eastAsia="仿宋_GB2312" w:cs="仿宋_GB2312"/>
          <w:b w:val="0"/>
          <w:bCs w:val="0"/>
          <w:color w:val="auto"/>
          <w:kern w:val="2"/>
          <w:sz w:val="32"/>
          <w:szCs w:val="32"/>
          <w:lang w:val="en-US" w:eastAsia="zh-CN" w:bidi="ar-SA"/>
        </w:rPr>
        <w:t>3.26万元。主要用于主要用于流浪乞讨人员的流动救助及特殊救助对象的护送工作等所需的公务用车燃料费、维修费、</w:t>
      </w:r>
      <w:r>
        <w:rPr>
          <w:rFonts w:hint="eastAsia" w:ascii="仿宋_GB2312" w:eastAsia="仿宋_GB2312"/>
          <w:color w:val="auto"/>
          <w:sz w:val="32"/>
          <w:szCs w:val="32"/>
        </w:rPr>
        <w:t>过路过桥费、保险费等支出。</w:t>
      </w:r>
    </w:p>
    <w:p>
      <w:pPr>
        <w:spacing w:line="600" w:lineRule="exact"/>
        <w:ind w:firstLine="640"/>
        <w:rPr>
          <w:rFonts w:hint="eastAsia" w:ascii="仿宋_GB2312" w:hAnsi="仿宋_GB2312" w:eastAsia="仿宋_GB2312" w:cs="仿宋_GB2312"/>
          <w:b w:val="0"/>
          <w:bCs w:val="0"/>
          <w:color w:val="auto"/>
          <w:kern w:val="2"/>
          <w:sz w:val="32"/>
          <w:szCs w:val="32"/>
          <w:lang w:val="en-US" w:eastAsia="zh-CN" w:bidi="ar-SA"/>
        </w:rPr>
      </w:pPr>
      <w:r>
        <w:rPr>
          <w:rFonts w:ascii="仿宋_GB2312" w:eastAsia="仿宋_GB2312"/>
          <w:b/>
          <w:color w:val="auto"/>
          <w:sz w:val="32"/>
          <w:szCs w:val="32"/>
        </w:rPr>
        <w:t>3.</w:t>
      </w:r>
      <w:r>
        <w:rPr>
          <w:rFonts w:hint="eastAsia" w:ascii="仿宋_GB2312" w:eastAsia="仿宋_GB2312"/>
          <w:b/>
          <w:color w:val="auto"/>
          <w:sz w:val="32"/>
          <w:szCs w:val="32"/>
        </w:rPr>
        <w:t>公务接待费支出</w:t>
      </w:r>
      <w:r>
        <w:rPr>
          <w:rFonts w:hint="eastAsia" w:ascii="仿宋_GB2312" w:hAnsi="仿宋_GB2312" w:eastAsia="仿宋_GB2312" w:cs="仿宋_GB2312"/>
          <w:b w:val="0"/>
          <w:bCs w:val="0"/>
          <w:color w:val="auto"/>
          <w:kern w:val="2"/>
          <w:sz w:val="32"/>
          <w:szCs w:val="32"/>
          <w:lang w:val="en-US" w:eastAsia="zh-CN" w:bidi="ar-SA"/>
        </w:rPr>
        <w:t>0.55万元，完成预算18%。公务接待费支出决算比2021年减少2.49万元，下降81%。主要原因是因为新冠疫情严重，我站救助业务无法正常开展，致使接待人数大幅减少。其中：</w:t>
      </w:r>
    </w:p>
    <w:p>
      <w:pPr>
        <w:spacing w:line="576" w:lineRule="exact"/>
        <w:ind w:firstLine="642" w:firstLineChars="200"/>
        <w:rPr>
          <w:rFonts w:hint="eastAsia" w:ascii="仿宋_GB2312" w:hAnsi="仿宋_GB2312" w:eastAsia="仿宋_GB2312" w:cs="仿宋_GB2312"/>
          <w:b w:val="0"/>
          <w:bCs w:val="0"/>
          <w:color w:val="auto"/>
          <w:kern w:val="2"/>
          <w:sz w:val="32"/>
          <w:szCs w:val="32"/>
          <w:lang w:val="en-US" w:eastAsia="zh-CN" w:bidi="ar-SA"/>
        </w:rPr>
      </w:pPr>
      <w:r>
        <w:rPr>
          <w:rFonts w:hint="eastAsia" w:ascii="仿宋" w:hAnsi="仿宋" w:eastAsia="仿宋"/>
          <w:b/>
          <w:color w:val="auto"/>
          <w:sz w:val="32"/>
          <w:szCs w:val="32"/>
        </w:rPr>
        <w:t>国内公务接待支出</w:t>
      </w:r>
      <w:r>
        <w:rPr>
          <w:rFonts w:hint="eastAsia" w:ascii="仿宋_GB2312" w:hAnsi="仿宋_GB2312" w:eastAsia="仿宋_GB2312" w:cs="仿宋_GB2312"/>
          <w:b w:val="0"/>
          <w:bCs w:val="0"/>
          <w:color w:val="auto"/>
          <w:kern w:val="2"/>
          <w:sz w:val="32"/>
          <w:szCs w:val="32"/>
          <w:lang w:val="en-US" w:eastAsia="zh-CN" w:bidi="ar-SA"/>
        </w:rPr>
        <w:t>0.55万元，主要用于救助业务(执行公务、开展业务活动开支的交通费、住宿费、用餐费等)。国内公务接待19批次，58人次（不包括陪同人员），共计支出0.55万元，具体内容包括：接待对口站护送的工作人员及来我站学习参观的人员。</w:t>
      </w:r>
    </w:p>
    <w:p>
      <w:pPr>
        <w:spacing w:line="600" w:lineRule="exact"/>
        <w:ind w:firstLine="640"/>
        <w:outlineLvl w:val="1"/>
        <w:rPr>
          <w:rStyle w:val="25"/>
          <w:rFonts w:ascii="黑体" w:hAnsi="黑体" w:eastAsia="黑体"/>
          <w:color w:val="auto"/>
        </w:rPr>
      </w:pPr>
      <w:bookmarkStart w:id="40" w:name="_Toc15396610"/>
      <w:bookmarkStart w:id="41" w:name="_Toc15377218"/>
      <w:r>
        <w:rPr>
          <w:rFonts w:hint="eastAsia" w:ascii="黑体" w:eastAsia="黑体"/>
          <w:color w:val="auto"/>
          <w:sz w:val="32"/>
          <w:szCs w:val="32"/>
        </w:rPr>
        <w:t>八、</w:t>
      </w:r>
      <w:r>
        <w:rPr>
          <w:rStyle w:val="25"/>
          <w:rFonts w:hint="eastAsia" w:ascii="黑体" w:hAnsi="黑体" w:eastAsia="黑体"/>
          <w:b w:val="0"/>
          <w:color w:val="auto"/>
        </w:rPr>
        <w:t>政府性基金预算支出决算情况说明</w:t>
      </w:r>
      <w:bookmarkEnd w:id="40"/>
      <w:bookmarkEnd w:id="41"/>
    </w:p>
    <w:p>
      <w:pPr>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2022年政府性基金预算财政拨款支出59.98万元，用于我站未成年人社会保护救助工作。。</w:t>
      </w:r>
    </w:p>
    <w:p>
      <w:pPr>
        <w:numPr>
          <w:ilvl w:val="0"/>
          <w:numId w:val="2"/>
        </w:numPr>
        <w:spacing w:line="600" w:lineRule="exact"/>
        <w:ind w:firstLine="640"/>
        <w:outlineLvl w:val="1"/>
        <w:rPr>
          <w:rStyle w:val="25"/>
          <w:rFonts w:ascii="黑体" w:hAnsi="黑体" w:eastAsia="黑体"/>
          <w:b w:val="0"/>
          <w:color w:val="auto"/>
        </w:rPr>
      </w:pPr>
      <w:bookmarkStart w:id="42" w:name="_Toc15377219"/>
      <w:bookmarkStart w:id="43" w:name="_Toc15396611"/>
      <w:r>
        <w:rPr>
          <w:rStyle w:val="25"/>
          <w:rFonts w:hint="eastAsia" w:ascii="黑体" w:hAnsi="黑体" w:eastAsia="黑体"/>
          <w:b w:val="0"/>
          <w:color w:val="auto"/>
        </w:rPr>
        <w:t>国有资本经营预算支出决算情况说明</w:t>
      </w:r>
      <w:bookmarkEnd w:id="42"/>
      <w:bookmarkEnd w:id="43"/>
    </w:p>
    <w:p>
      <w:pPr>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2022年国有资本经营预算财政拨款支出0万元。</w:t>
      </w:r>
    </w:p>
    <w:p>
      <w:pPr>
        <w:numPr>
          <w:ilvl w:val="0"/>
          <w:numId w:val="2"/>
        </w:numPr>
        <w:spacing w:line="600" w:lineRule="exact"/>
        <w:ind w:firstLine="640"/>
        <w:outlineLvl w:val="1"/>
        <w:rPr>
          <w:rStyle w:val="25"/>
          <w:rFonts w:ascii="黑体" w:hAnsi="黑体" w:eastAsia="黑体"/>
          <w:b w:val="0"/>
          <w:color w:val="auto"/>
        </w:rPr>
      </w:pPr>
      <w:bookmarkStart w:id="44" w:name="_Toc15377221"/>
      <w:bookmarkStart w:id="45" w:name="_Toc15396612"/>
      <w:r>
        <w:rPr>
          <w:rStyle w:val="25"/>
          <w:rFonts w:hint="eastAsia" w:ascii="黑体" w:hAnsi="黑体" w:eastAsia="黑体"/>
          <w:b w:val="0"/>
          <w:color w:val="auto"/>
        </w:rPr>
        <w:t>其他重要事项的情况说明</w:t>
      </w:r>
      <w:bookmarkEnd w:id="44"/>
      <w:bookmarkEnd w:id="45"/>
    </w:p>
    <w:p>
      <w:pPr>
        <w:spacing w:line="600" w:lineRule="exact"/>
        <w:ind w:firstLine="642" w:firstLineChars="200"/>
        <w:outlineLvl w:val="2"/>
        <w:rPr>
          <w:rFonts w:ascii="仿宋" w:hAnsi="仿宋" w:eastAsia="仿宋"/>
          <w:color w:val="auto"/>
          <w:sz w:val="32"/>
          <w:szCs w:val="32"/>
        </w:rPr>
      </w:pPr>
      <w:bookmarkStart w:id="46" w:name="_Toc15377222"/>
      <w:r>
        <w:rPr>
          <w:rFonts w:hint="eastAsia" w:ascii="仿宋" w:hAnsi="仿宋" w:eastAsia="仿宋"/>
          <w:b/>
          <w:color w:val="auto"/>
          <w:sz w:val="32"/>
          <w:szCs w:val="32"/>
        </w:rPr>
        <w:t>（一）机关运行经费支出情况</w:t>
      </w:r>
      <w:bookmarkEnd w:id="46"/>
    </w:p>
    <w:p>
      <w:pPr>
        <w:spacing w:line="600" w:lineRule="exact"/>
        <w:ind w:firstLine="640" w:firstLineChars="200"/>
        <w:rPr>
          <w:rFonts w:ascii="仿宋_GB2312" w:eastAsia="仿宋_GB2312"/>
          <w:color w:val="auto"/>
          <w:sz w:val="32"/>
          <w:szCs w:val="32"/>
        </w:rPr>
      </w:pPr>
      <w:r>
        <w:rPr>
          <w:rFonts w:hint="eastAsia" w:ascii="仿宋_GB2312" w:hAnsi="仿宋_GB2312" w:eastAsia="仿宋_GB2312" w:cs="仿宋_GB2312"/>
          <w:b w:val="0"/>
          <w:bCs w:val="0"/>
          <w:color w:val="auto"/>
          <w:kern w:val="2"/>
          <w:sz w:val="32"/>
          <w:szCs w:val="32"/>
          <w:lang w:val="en-US" w:eastAsia="zh-CN" w:bidi="ar-SA"/>
        </w:rPr>
        <w:t>2022年</w:t>
      </w:r>
      <w:r>
        <w:rPr>
          <w:rFonts w:hint="eastAsia" w:ascii="仿宋" w:hAnsi="仿宋" w:eastAsia="仿宋" w:cs="仿宋"/>
          <w:b/>
          <w:color w:val="auto"/>
          <w:sz w:val="32"/>
          <w:szCs w:val="32"/>
        </w:rPr>
        <w:t>未发生机关运行经费支出，与2021年决算数持平。</w:t>
      </w:r>
    </w:p>
    <w:p>
      <w:pPr>
        <w:autoSpaceDE w:val="0"/>
        <w:autoSpaceDN w:val="0"/>
        <w:adjustRightInd w:val="0"/>
        <w:spacing w:line="600" w:lineRule="exact"/>
        <w:ind w:firstLine="642" w:firstLineChars="200"/>
        <w:jc w:val="left"/>
        <w:outlineLvl w:val="2"/>
        <w:rPr>
          <w:rFonts w:ascii="仿宋" w:hAnsi="仿宋" w:eastAsia="仿宋"/>
          <w:b/>
          <w:color w:val="auto"/>
          <w:sz w:val="32"/>
          <w:szCs w:val="32"/>
        </w:rPr>
      </w:pPr>
      <w:bookmarkStart w:id="47" w:name="_Toc15377223"/>
      <w:r>
        <w:rPr>
          <w:rFonts w:hint="eastAsia" w:ascii="仿宋" w:hAnsi="仿宋" w:eastAsia="仿宋"/>
          <w:b/>
          <w:color w:val="auto"/>
          <w:sz w:val="32"/>
          <w:szCs w:val="32"/>
        </w:rPr>
        <w:t>（二）政府采购支出情况</w:t>
      </w:r>
      <w:bookmarkEnd w:id="47"/>
    </w:p>
    <w:p>
      <w:pPr>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2022年，广元市救助管理站政府采购支出总额89.94万元，其中：政府采购货物支出49.88万元、政府采购服务支出40.06万元。主要用于未成年人社会保护工作的物品购置及流浪乞讨人员的照看服务。授予中小企业合同金额89.94万元，占政府采购支出总额的100%，其中：授予小微企业合同金额89.94万元，占政府采购支出总额的100%。</w:t>
      </w:r>
    </w:p>
    <w:p>
      <w:pPr>
        <w:autoSpaceDE w:val="0"/>
        <w:autoSpaceDN w:val="0"/>
        <w:adjustRightInd w:val="0"/>
        <w:spacing w:line="600" w:lineRule="exact"/>
        <w:ind w:firstLine="642" w:firstLineChars="200"/>
        <w:jc w:val="left"/>
        <w:outlineLvl w:val="2"/>
        <w:rPr>
          <w:rFonts w:ascii="仿宋" w:hAnsi="仿宋" w:eastAsia="仿宋"/>
          <w:b/>
          <w:color w:val="auto"/>
          <w:sz w:val="32"/>
          <w:szCs w:val="32"/>
        </w:rPr>
      </w:pPr>
      <w:bookmarkStart w:id="48" w:name="_Toc15377224"/>
      <w:r>
        <w:rPr>
          <w:rFonts w:hint="eastAsia" w:ascii="仿宋" w:hAnsi="仿宋" w:eastAsia="仿宋"/>
          <w:b/>
          <w:color w:val="auto"/>
          <w:sz w:val="32"/>
          <w:szCs w:val="32"/>
        </w:rPr>
        <w:t>（三）国有资产占有使用情况</w:t>
      </w:r>
      <w:bookmarkEnd w:id="48"/>
    </w:p>
    <w:p>
      <w:pPr>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截至2022年12月31日，广元市救助管理站共有车辆4辆，主要是用于我站的流浪乞讨人员救助工作及未成年人社会保护工作。单价100万元以上专用设备0台（套）。</w:t>
      </w:r>
    </w:p>
    <w:p>
      <w:pPr>
        <w:autoSpaceDE w:val="0"/>
        <w:autoSpaceDN w:val="0"/>
        <w:adjustRightInd w:val="0"/>
        <w:spacing w:line="600" w:lineRule="exact"/>
        <w:ind w:firstLine="642" w:firstLineChars="200"/>
        <w:jc w:val="left"/>
        <w:outlineLvl w:val="2"/>
        <w:rPr>
          <w:rFonts w:ascii="仿宋" w:hAnsi="仿宋" w:eastAsia="仿宋"/>
          <w:b/>
          <w:color w:val="auto"/>
          <w:sz w:val="32"/>
          <w:szCs w:val="32"/>
        </w:rPr>
      </w:pPr>
      <w:r>
        <w:rPr>
          <w:rFonts w:hint="eastAsia" w:ascii="仿宋" w:hAnsi="仿宋" w:eastAsia="仿宋"/>
          <w:b/>
          <w:color w:val="auto"/>
          <w:sz w:val="32"/>
          <w:szCs w:val="32"/>
        </w:rPr>
        <w:t>（四）预算绩效管理情况</w:t>
      </w:r>
    </w:p>
    <w:p>
      <w:pPr>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根据预算绩效管理要求，本单位在2022年度预算编制阶段，组织对流浪乞讨人员救助项目等2个项目开展了预算事前绩效评估，对2个项目编制了绩效目标，预算执行过程中，选取2个项目开展绩效监控，组织对2个项目开展绩效自评，绩效自评表详见第四部分附件。</w:t>
      </w:r>
    </w:p>
    <w:p>
      <w:pPr>
        <w:widowControl/>
        <w:jc w:val="left"/>
        <w:rPr>
          <w:rFonts w:ascii="仿宋_GB2312" w:eastAsia="仿宋_GB2312"/>
          <w:b/>
          <w:color w:val="auto"/>
          <w:sz w:val="32"/>
          <w:szCs w:val="32"/>
        </w:rPr>
      </w:pPr>
      <w:r>
        <w:rPr>
          <w:rFonts w:ascii="仿宋_GB2312" w:eastAsia="仿宋_GB2312"/>
          <w:b/>
          <w:color w:val="auto"/>
          <w:sz w:val="32"/>
          <w:szCs w:val="32"/>
        </w:rPr>
        <w:br w:type="page"/>
      </w:r>
    </w:p>
    <w:p>
      <w:pPr>
        <w:numPr>
          <w:ilvl w:val="0"/>
          <w:numId w:val="3"/>
        </w:numPr>
        <w:spacing w:line="600" w:lineRule="exact"/>
        <w:ind w:firstLine="660" w:firstLineChars="150"/>
        <w:jc w:val="center"/>
        <w:outlineLvl w:val="0"/>
        <w:rPr>
          <w:rStyle w:val="24"/>
          <w:rFonts w:ascii="黑体" w:hAnsi="黑体" w:eastAsia="黑体"/>
          <w:b w:val="0"/>
          <w:color w:val="auto"/>
        </w:rPr>
      </w:pPr>
      <w:bookmarkStart w:id="49" w:name="_Toc15377225"/>
      <w:bookmarkStart w:id="50" w:name="_Toc15396613"/>
      <w:r>
        <w:rPr>
          <w:rFonts w:hint="eastAsia" w:ascii="黑体" w:hAnsi="黑体" w:eastAsia="黑体"/>
          <w:color w:val="auto"/>
          <w:sz w:val="44"/>
          <w:szCs w:val="44"/>
        </w:rPr>
        <w:t>名</w:t>
      </w:r>
      <w:r>
        <w:rPr>
          <w:rStyle w:val="24"/>
          <w:rFonts w:hint="eastAsia" w:ascii="黑体" w:hAnsi="黑体" w:eastAsia="黑体"/>
          <w:b w:val="0"/>
          <w:color w:val="auto"/>
        </w:rPr>
        <w:t>词解释</w:t>
      </w:r>
      <w:bookmarkEnd w:id="49"/>
      <w:bookmarkEnd w:id="50"/>
    </w:p>
    <w:p>
      <w:pPr>
        <w:spacing w:line="600" w:lineRule="exact"/>
        <w:jc w:val="left"/>
        <w:rPr>
          <w:rFonts w:ascii="宋体"/>
          <w:b/>
          <w:color w:val="auto"/>
          <w:sz w:val="44"/>
          <w:szCs w:val="44"/>
        </w:rPr>
      </w:pP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ascii="仿宋_GB2312" w:eastAsia="仿宋_GB2312"/>
          <w:color w:val="auto"/>
          <w:sz w:val="32"/>
          <w:szCs w:val="32"/>
        </w:rPr>
        <w:t>.</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3.年末结转和结余：指单位按有关规定结转到下年或以后年度继续使用的资金。</w:t>
      </w:r>
    </w:p>
    <w:p>
      <w:pPr>
        <w:spacing w:line="576" w:lineRule="exact"/>
        <w:ind w:firstLine="640" w:firstLineChars="20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eastAsia="仿宋_GB2312"/>
          <w:color w:val="auto"/>
          <w:sz w:val="32"/>
          <w:szCs w:val="32"/>
        </w:rPr>
        <w:t>4</w:t>
      </w:r>
      <w:r>
        <w:rPr>
          <w:rFonts w:ascii="仿宋_GB2312" w:eastAsia="仿宋_GB2312"/>
          <w:color w:val="auto"/>
          <w:sz w:val="32"/>
          <w:szCs w:val="32"/>
        </w:rPr>
        <w:t>..</w:t>
      </w:r>
      <w:r>
        <w:rPr>
          <w:rStyle w:val="14"/>
          <w:rFonts w:hint="eastAsia" w:ascii="仿宋" w:hAnsi="仿宋" w:eastAsia="仿宋"/>
          <w:b w:val="0"/>
          <w:bCs/>
          <w:color w:val="auto"/>
          <w:sz w:val="32"/>
          <w:szCs w:val="32"/>
        </w:rPr>
        <w:t xml:space="preserve"> </w:t>
      </w:r>
      <w:r>
        <w:rPr>
          <w:rFonts w:hint="eastAsia" w:ascii="仿宋_GB2312" w:hAnsi="仿宋_GB2312" w:eastAsia="仿宋_GB2312" w:cs="仿宋_GB2312"/>
          <w:b w:val="0"/>
          <w:bCs w:val="0"/>
          <w:color w:val="auto"/>
          <w:kern w:val="2"/>
          <w:sz w:val="32"/>
          <w:szCs w:val="32"/>
          <w:lang w:val="en-US" w:eastAsia="zh-CN" w:bidi="ar-SA"/>
        </w:rPr>
        <w:t>社会保障和就业（类）其它社会保障和就业支出（款）其它社会保障和就业支出（项）指反映上述项目以外其他用于社会保障和就业方面的支出。</w:t>
      </w:r>
    </w:p>
    <w:p>
      <w:pPr>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eastAsia="仿宋_GB2312"/>
          <w:color w:val="auto"/>
          <w:sz w:val="32"/>
          <w:szCs w:val="32"/>
        </w:rPr>
        <w:t>5</w:t>
      </w:r>
      <w:r>
        <w:rPr>
          <w:rFonts w:ascii="仿宋_GB2312" w:eastAsia="仿宋_GB2312"/>
          <w:color w:val="auto"/>
          <w:sz w:val="32"/>
          <w:szCs w:val="32"/>
        </w:rPr>
        <w:t>.</w:t>
      </w:r>
      <w:r>
        <w:rPr>
          <w:rStyle w:val="14"/>
          <w:rFonts w:hint="eastAsia" w:ascii="仿宋" w:hAnsi="仿宋" w:eastAsia="仿宋"/>
          <w:b w:val="0"/>
          <w:bCs/>
          <w:color w:val="auto"/>
          <w:sz w:val="32"/>
          <w:szCs w:val="32"/>
        </w:rPr>
        <w:t xml:space="preserve"> </w:t>
      </w:r>
      <w:r>
        <w:rPr>
          <w:rFonts w:hint="eastAsia" w:ascii="仿宋_GB2312" w:hAnsi="仿宋_GB2312" w:eastAsia="仿宋_GB2312" w:cs="仿宋_GB2312"/>
          <w:b w:val="0"/>
          <w:bCs w:val="0"/>
          <w:color w:val="auto"/>
          <w:kern w:val="2"/>
          <w:sz w:val="32"/>
          <w:szCs w:val="32"/>
          <w:lang w:val="en-US" w:eastAsia="zh-CN" w:bidi="ar-SA"/>
        </w:rPr>
        <w:t>社会保障和就业（类）临时救助（款）流浪乞讨人员救助（项）：指反映用于生活无着的流浪乞讨人员的救助支出和救助管理机构的运转支出。</w:t>
      </w:r>
    </w:p>
    <w:p>
      <w:pPr>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6. 社会保障和就业（类）行政事业单位养老支出（款）机关事业单位基本养老保险缴费支出（项）：指反映机关事业单位实施养老保险制度由单位缴纳的基本养老保险费支出。</w:t>
      </w:r>
    </w:p>
    <w:p>
      <w:pPr>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7. 社会保障和就业（类）行政事业单位养老支出（款）机关事业单位职业年金缴费支出（项）。指反映机关事业单位实施养老保险制度由单位实际缴纳的职业年金支出。</w:t>
      </w:r>
    </w:p>
    <w:p>
      <w:pPr>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8. 卫生健康（类）行政事业单位医疗（款）事业单位医疗（项）：指反映财政部门安排的事业单位基本医疗保险缴费经费，未参加医疗保险的事业单位的公费医疗经费，按国家规定享受离休人员待遇的医疗经费。</w:t>
      </w:r>
    </w:p>
    <w:p>
      <w:pPr>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9. 住房保障支出（类）住房改革支出（款）住房公积金（项）：指反映行政事业单位按人力资源和社会保障部、财政部规定的基本工资和津贴补贴以及规定比例为职工缴纳的住房公积金。</w:t>
      </w:r>
    </w:p>
    <w:p>
      <w:pPr>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10.基本支出：指为保障机构正常运转、完成日常工作任务而发生的人员支出和公用支出。</w:t>
      </w:r>
    </w:p>
    <w:p>
      <w:pPr>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11.项目支出：指在基本支出之外为完成特定行政任务和事业发展目标所发生的支出。 </w:t>
      </w:r>
    </w:p>
    <w:p>
      <w:pPr>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12.“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24"/>
          <w:rFonts w:ascii="黑体" w:hAnsi="黑体" w:eastAsia="黑体"/>
          <w:b w:val="0"/>
          <w:color w:val="auto"/>
        </w:rPr>
      </w:pPr>
      <w:bookmarkStart w:id="51" w:name="_Toc15377226"/>
      <w:r>
        <w:rPr>
          <w:rFonts w:ascii="宋体"/>
          <w:b/>
          <w:color w:val="auto"/>
          <w:sz w:val="44"/>
          <w:szCs w:val="44"/>
        </w:rPr>
        <w:br w:type="page"/>
      </w:r>
      <w:bookmarkStart w:id="52" w:name="_Toc15396614"/>
      <w:r>
        <w:rPr>
          <w:rFonts w:hint="eastAsia" w:ascii="黑体" w:hAnsi="黑体" w:eastAsia="黑体"/>
          <w:color w:val="auto"/>
          <w:sz w:val="44"/>
          <w:szCs w:val="44"/>
        </w:rPr>
        <w:t>第</w:t>
      </w:r>
      <w:r>
        <w:rPr>
          <w:rStyle w:val="24"/>
          <w:rFonts w:hint="eastAsia" w:ascii="黑体" w:hAnsi="黑体" w:eastAsia="黑体"/>
          <w:b w:val="0"/>
          <w:color w:val="auto"/>
        </w:rPr>
        <w:t>四部分 附件</w:t>
      </w:r>
      <w:bookmarkEnd w:id="52"/>
    </w:p>
    <w:p>
      <w:pPr>
        <w:spacing w:line="572" w:lineRule="exact"/>
        <w:jc w:val="left"/>
        <w:outlineLvl w:val="0"/>
        <w:rPr>
          <w:rFonts w:ascii="仿宋_GB2312" w:hAnsi="仿宋_GB2312" w:eastAsia="仿宋_GB2312" w:cs="仿宋_GB2312"/>
          <w:color w:val="auto"/>
          <w:sz w:val="32"/>
          <w:szCs w:val="32"/>
        </w:rPr>
      </w:pPr>
    </w:p>
    <w:p>
      <w:pPr>
        <w:spacing w:line="600" w:lineRule="exact"/>
        <w:jc w:val="center"/>
        <w:outlineLvl w:val="0"/>
        <w:rPr>
          <w:rFonts w:ascii="仿宋_GB2312" w:hAnsi="Calibri" w:eastAsia="仿宋_GB2312" w:cs="仿宋"/>
          <w:color w:val="auto"/>
          <w:kern w:val="0"/>
          <w:sz w:val="32"/>
          <w:szCs w:val="32"/>
        </w:rPr>
      </w:pPr>
      <w:bookmarkStart w:id="53" w:name="_Toc15396618"/>
      <w:r>
        <w:rPr>
          <w:rFonts w:hint="eastAsia" w:ascii="宋体" w:hAnsi="宋体" w:cs="宋体"/>
          <w:color w:val="auto"/>
          <w:kern w:val="0"/>
          <w:sz w:val="32"/>
          <w:szCs w:val="32"/>
        </w:rPr>
        <w:t>部门预算项目支出绩效自评表（2022年度）</w:t>
      </w:r>
    </w:p>
    <w:p>
      <w:pPr>
        <w:pStyle w:val="2"/>
        <w:spacing w:before="93"/>
        <w:rPr>
          <w:rFonts w:hAnsi="Calibri" w:cs="仿宋"/>
          <w:color w:val="auto"/>
          <w:sz w:val="32"/>
          <w:szCs w:val="32"/>
        </w:rPr>
      </w:pPr>
    </w:p>
    <w:tbl>
      <w:tblPr>
        <w:tblStyle w:val="12"/>
        <w:tblW w:w="92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46"/>
        <w:gridCol w:w="1124"/>
        <w:gridCol w:w="1226"/>
        <w:gridCol w:w="505"/>
        <w:gridCol w:w="872"/>
        <w:gridCol w:w="505"/>
        <w:gridCol w:w="869"/>
        <w:gridCol w:w="531"/>
        <w:gridCol w:w="53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4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75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51000021R000000019951-工资性支出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4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广元市民政局部门</w:t>
            </w:r>
          </w:p>
        </w:tc>
        <w:tc>
          <w:tcPr>
            <w:tcW w:w="87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广元市救助管理站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4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32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c>
          <w:tcPr>
            <w:tcW w:w="4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严格执行相关政策，保障工资及时发放、足额发放，预算编制科学合理，减少结余资金</w:t>
            </w:r>
          </w:p>
        </w:tc>
        <w:tc>
          <w:tcPr>
            <w:tcW w:w="32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按时完成职工工资福利待遇的发放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75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按月支付工资、保险、住房公积金等，保障工资及时发放、足额发放。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250.09</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290.09</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290.09</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auto"/>
                <w:sz w:val="18"/>
                <w:szCs w:val="18"/>
                <w:u w:val="none"/>
              </w:rPr>
            </w:pPr>
            <w:r>
              <w:rPr>
                <w:rFonts w:hint="eastAsia" w:ascii="黑体" w:hAnsi="黑体" w:eastAsia="黑体" w:cs="黑体"/>
                <w:i/>
                <w:iCs/>
                <w:color w:val="auto"/>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250.09</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290.09</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290.09</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产出指标</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数量指标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足额保障率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22.5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22.5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科目调整次数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22.5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22.5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时效指标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按时发放率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22.5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22.5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效益指标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经济效益指标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结余率（计算方法为：结余数/预算数）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22.5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22.5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87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我单位主要抓好预算绩效过程管理，建立全过程预算绩效管理链条。预算编制环节绩效目标管理与预算编制同步；按照财政部门要求反馈结果应用，积极配合评价工作。开展绩效监控，对绩效目标实现程度和预算执行进度实行“双监控”，努力发挥项目效益，部门整体支出绩效达到预期目标。自评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87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在对待绩效评价的认识上有差距。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87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一是加强学习，提高认识；二是加强项目监督，提高财政资金使用效率。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项目负责人：唐欢</w:t>
            </w:r>
          </w:p>
        </w:tc>
        <w:tc>
          <w:tcPr>
            <w:tcW w:w="47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财务负责人：何梅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123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118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111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91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87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144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4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75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51000021R000000019952-其他人员支出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4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广元市民政局部门</w:t>
            </w:r>
          </w:p>
        </w:tc>
        <w:tc>
          <w:tcPr>
            <w:tcW w:w="87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广元市救助管理站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4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32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c>
          <w:tcPr>
            <w:tcW w:w="4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按时支付离退休人员的做实职业年金</w:t>
            </w:r>
          </w:p>
        </w:tc>
        <w:tc>
          <w:tcPr>
            <w:tcW w:w="32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按时完成职工福利待遇的发放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75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及时发放、足额发放。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5.91</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5.91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auto"/>
                <w:sz w:val="18"/>
                <w:szCs w:val="18"/>
                <w:u w:val="none"/>
              </w:rPr>
            </w:pPr>
            <w:r>
              <w:rPr>
                <w:rFonts w:hint="eastAsia" w:ascii="黑体" w:hAnsi="黑体" w:eastAsia="黑体" w:cs="黑体"/>
                <w:i/>
                <w:iCs/>
                <w:color w:val="auto"/>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5.91</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5.91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87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我单位主要抓好预算绩效过程管理，建立全过程预算绩效管理链条。预算编制环节绩效目标管理与预算编制同步；按照财政部门要求反馈结果应用，积极配合评价工作。开展绩效监控，对绩效目标实现程度和预算执行进度实行“双监控”，努力发挥项目效益，部门整体支出绩效达到预期目标。自评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87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在对待绩效评价的认识上有差距。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87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一是加强学习，提高认识；二是加强项目监督，提高财政资金使用效率。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项目负责人：唐欢</w:t>
            </w:r>
          </w:p>
        </w:tc>
        <w:tc>
          <w:tcPr>
            <w:tcW w:w="47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财务负责人：何梅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123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118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111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91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87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144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4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75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51000021R000000019956-离退休费支出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4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广元市民政局部门</w:t>
            </w:r>
          </w:p>
        </w:tc>
        <w:tc>
          <w:tcPr>
            <w:tcW w:w="87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广元市救助管理站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4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32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c>
          <w:tcPr>
            <w:tcW w:w="4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严格执行相关政策，保障工资及时发放、足额发放，预算编制科学合理，减少结余资金</w:t>
            </w:r>
          </w:p>
        </w:tc>
        <w:tc>
          <w:tcPr>
            <w:tcW w:w="32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按时完成职工福利待遇的发放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75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按月支付退休人员生活补助及时发放、足额发放。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54.39</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52.45</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52.45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auto"/>
                <w:sz w:val="18"/>
                <w:szCs w:val="18"/>
                <w:u w:val="none"/>
              </w:rPr>
            </w:pPr>
            <w:r>
              <w:rPr>
                <w:rFonts w:hint="eastAsia" w:ascii="黑体" w:hAnsi="黑体" w:eastAsia="黑体" w:cs="黑体"/>
                <w:i/>
                <w:iCs/>
                <w:color w:val="auto"/>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54.39</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52.45</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52.45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产出指标</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数量指标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足额保障率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22.5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22.5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科目调整次数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22.5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22.5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时效指标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按时发放率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22.5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22.5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效益指标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经济效益指标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结余率（计算方法为：结余数/预算数）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22.5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22.5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87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我单位主要抓好预算绩效过程管理，建立全过程预算绩效管理链条。预算编制环节绩效目标管理与预算编制同步；按照财政部门要求反馈结果应用，积极配合评价工作。开展绩效监控，对绩效目标实现程度和预算执行进度实行“双监控”，努力发挥项目效益，部门整体支出绩效达到预期目标。自评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87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在对待绩效评价的认识上有差距。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87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一是加强学习，提高认识；二是加强项目监督，提高财政资金使用效率。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项目负责人：唐欢</w:t>
            </w:r>
          </w:p>
        </w:tc>
        <w:tc>
          <w:tcPr>
            <w:tcW w:w="47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财务负责人：何梅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123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118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111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91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87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144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4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75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51000021R000000019958-其他支出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4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广元市民政局部门</w:t>
            </w:r>
          </w:p>
        </w:tc>
        <w:tc>
          <w:tcPr>
            <w:tcW w:w="87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广元市救助管理站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4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32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c>
          <w:tcPr>
            <w:tcW w:w="4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严格执行相关政策，保障工资及时发放、足额发放，预算编制科学合理，减少结余资金</w:t>
            </w:r>
          </w:p>
        </w:tc>
        <w:tc>
          <w:tcPr>
            <w:tcW w:w="32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按时完成职工福利待遇的发放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75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按时支付遗属人员的生活补助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5.34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4.86</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4.86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auto"/>
                <w:sz w:val="18"/>
                <w:szCs w:val="18"/>
                <w:u w:val="none"/>
              </w:rPr>
            </w:pPr>
            <w:r>
              <w:rPr>
                <w:rFonts w:hint="eastAsia" w:ascii="黑体" w:hAnsi="黑体" w:eastAsia="黑体" w:cs="黑体"/>
                <w:i/>
                <w:iCs/>
                <w:color w:val="auto"/>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5.34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4.86</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4.86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产出指标</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数量指标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足额保障率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22.5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22.5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科目调整次数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22.5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22.5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时效指标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按时发放率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22.5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效益指标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经济效益指标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结余率（计算方法为：结余数/预算数）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22.5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22.5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87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我单位主要抓好预算绩效过程管理，建立全过程预算绩效管理链条。预算编制环节绩效目标管理与预算编制同步；按照财政部门要求反馈结果应用，积极配合评价工作。开展绩效监控，对绩效目标实现程度和预算执行进度实行“双监控”，努力发挥项目效益，部门整体支出绩效达到预期目标。自评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87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在对待绩效评价的认识上有差距。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87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一是加强学习，提高认识；二是加强项目监督，提高财政资金使用效率。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项目负责人：唐欢</w:t>
            </w:r>
          </w:p>
        </w:tc>
        <w:tc>
          <w:tcPr>
            <w:tcW w:w="47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财务负责人：何梅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123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118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111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91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87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144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123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118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111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91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87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144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4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75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51080021Y000000176770-其他公用经费（福利、工会、公车补贴、党建、退休活动）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4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广元市民政局部门</w:t>
            </w:r>
          </w:p>
        </w:tc>
        <w:tc>
          <w:tcPr>
            <w:tcW w:w="87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广元市救助管理站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4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32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c>
          <w:tcPr>
            <w:tcW w:w="4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保障单位日常运转，提高预算编制质量，严格执行预算</w:t>
            </w:r>
          </w:p>
        </w:tc>
        <w:tc>
          <w:tcPr>
            <w:tcW w:w="32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全面保障单位的正常运转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75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按时支付水电、办公、车辆维修、物管等支出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20.97</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14.66</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14.66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auto"/>
                <w:sz w:val="18"/>
                <w:szCs w:val="18"/>
                <w:u w:val="none"/>
              </w:rPr>
            </w:pPr>
            <w:r>
              <w:rPr>
                <w:rFonts w:hint="eastAsia" w:ascii="黑体" w:hAnsi="黑体" w:eastAsia="黑体" w:cs="黑体"/>
                <w:i/>
                <w:iCs/>
                <w:color w:val="auto"/>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20.97</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14.66</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14.66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产出指标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数量指标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科目调整次数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22.5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22.5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质量指标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预算编制准确率（计算方法为：∣（执行数-预算数）/预算数∣）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22.5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22.5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效益指标</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经济效益指标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运转保障率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22.5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22.5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“三公经费”控制率[计算方法为：（三公经费实际支出数/预算安排数]×100%）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22.5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22.5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87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我单位主要抓好预算绩效过程管理，建立全过程预算绩效管理链条。预算编制环节绩效目标管理与预算编制同步；按照财政部门要求反馈结果应用，积极配合评价工作。开展绩效监控，对绩效目标实现程度和预算执行进度实行“双监控”，努力发挥项目效益，部门整体支出绩效达到预期目标。自评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87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在对待绩效评价的认识上有差距。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87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一是加强学习，提高认识；二是加强项目监督，提高财政资金使用效率。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项目负责人：唐欢</w:t>
            </w:r>
          </w:p>
        </w:tc>
        <w:tc>
          <w:tcPr>
            <w:tcW w:w="47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财务负责人：何梅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123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118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111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91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87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144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4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75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51080022R000000267546-工资性支出（事业）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4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广元市民政局部门</w:t>
            </w:r>
          </w:p>
        </w:tc>
        <w:tc>
          <w:tcPr>
            <w:tcW w:w="87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广元市救助管理站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4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32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c>
          <w:tcPr>
            <w:tcW w:w="4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严格执行相关政策，保障工资及时发放、足额发放，预算编制科学合理，减少结余资金</w:t>
            </w:r>
          </w:p>
        </w:tc>
        <w:tc>
          <w:tcPr>
            <w:tcW w:w="32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按时完成职工福利待遇的发放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75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按月支付工资、保险、住房公积金等，保障工资及时发放、足额发放。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373.34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514.32</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514.32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auto"/>
                <w:sz w:val="18"/>
                <w:szCs w:val="18"/>
                <w:u w:val="none"/>
              </w:rPr>
            </w:pPr>
            <w:r>
              <w:rPr>
                <w:rFonts w:hint="eastAsia" w:ascii="黑体" w:hAnsi="黑体" w:eastAsia="黑体" w:cs="黑体"/>
                <w:i/>
                <w:iCs/>
                <w:color w:val="auto"/>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373.34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514.32</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514.32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产出指标</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数量指标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足额保障率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22.5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22.5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科目调整次数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22.5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22.5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时效指标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按时发放率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22.5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22.5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效益指标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经济效益指标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结余率（计算方法为：结余数/预算数）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22.5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22.5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87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我单位主要抓好预算绩效过程管理，建立全过程预算绩效管理链条。预算编制环节绩效目标管理与预算编制同步；按照财政部门要求反馈结果应用，积极配合评价工作。开展绩效监控，对绩效目标实现程度和预算执行进度实行“双监控”，努力发挥项目效益，部门整体支出绩效达到预期目标。自评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87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在对待绩效评价的认识上有差距。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87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一是加强学习，提高认识；二是加强项目监督，提高财政资金使用效率。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项目负责人：唐欢</w:t>
            </w:r>
          </w:p>
        </w:tc>
        <w:tc>
          <w:tcPr>
            <w:tcW w:w="47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财务负责人：何梅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123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118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111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91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87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144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4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75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51080022R000006910914-退休“中人”一次性退休补贴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4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广元市民政局部门</w:t>
            </w:r>
          </w:p>
        </w:tc>
        <w:tc>
          <w:tcPr>
            <w:tcW w:w="87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广元市救助管理站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4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32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c>
          <w:tcPr>
            <w:tcW w:w="4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及时发放、足额发放。</w:t>
            </w:r>
          </w:p>
        </w:tc>
        <w:tc>
          <w:tcPr>
            <w:tcW w:w="32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按时完成职工福利待遇的发放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75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发放完成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1.59</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1.59</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auto"/>
                <w:sz w:val="18"/>
                <w:szCs w:val="18"/>
                <w:u w:val="none"/>
              </w:rPr>
            </w:pPr>
            <w:r>
              <w:rPr>
                <w:rFonts w:hint="eastAsia" w:ascii="黑体" w:hAnsi="黑体" w:eastAsia="黑体" w:cs="黑体"/>
                <w:i/>
                <w:iCs/>
                <w:color w:val="auto"/>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1.59</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1.59</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87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我单位主要抓好预算绩效过程管理，建立全过程预算绩效管理链条。预算编制环节绩效目标管理与预算编制同步；按照财政部门要求反馈结果应用，积极配合评价工作。开展绩效监控，对绩效目标实现程度和预算执行进度实行“双监控”，努力发挥项目效益，部门整体支出绩效达到预期目标。自评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87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在对待绩效评价的认识上有差距。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87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一是加强学习，提高认识；二是加强项目监督，提高财政资金使用效率。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项目负责人：唐欢</w:t>
            </w:r>
          </w:p>
        </w:tc>
        <w:tc>
          <w:tcPr>
            <w:tcW w:w="47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财务负责人：何梅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123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118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111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91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87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144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123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118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111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91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87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144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4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75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51080022Y000000267568-定额公用经费（事业）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4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广元市民政局部门</w:t>
            </w:r>
          </w:p>
        </w:tc>
        <w:tc>
          <w:tcPr>
            <w:tcW w:w="87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广元市救助管理站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4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32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c>
          <w:tcPr>
            <w:tcW w:w="4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保障单位日常运转，提高预算编制质量，严格执行预算</w:t>
            </w:r>
          </w:p>
        </w:tc>
        <w:tc>
          <w:tcPr>
            <w:tcW w:w="32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全面保障单位的正常运转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75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按时支付水电、办公、车辆维修、物管等支出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60.00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55.57</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55.57</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auto"/>
                <w:sz w:val="18"/>
                <w:szCs w:val="18"/>
                <w:u w:val="none"/>
              </w:rPr>
            </w:pPr>
            <w:r>
              <w:rPr>
                <w:rFonts w:hint="eastAsia" w:ascii="黑体" w:hAnsi="黑体" w:eastAsia="黑体" w:cs="黑体"/>
                <w:i/>
                <w:iCs/>
                <w:color w:val="auto"/>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60.00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55.57</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55.57</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产出指标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数量指标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科目调整次数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22.5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22.5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质量指标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预算编制准确率（计算方法为：∣（执行数-预算数）/预算数∣）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22.5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22.5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效益指标</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经济效益指标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运转保障率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22.5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22.5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“三公经费”控制率[计算方法为：（三公经费实际支出数/预算安排数]×100%）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22.5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22.5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87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我单位主要抓好预算绩效过程管理，建立全过程预算绩效管理链条。预算编制环节绩效目标管理与预算编制同步；按照财政部门要求反馈结果应用，积极配合评价工作。开展绩效监控，对绩效目标实现程度和预算执行进度实行“双监控”，努力发挥项目效益，部门整体支出绩效达到预期目标。自评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87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在对待绩效评价的认识上有差距。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87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一是加强学习，提高认识；二是加强项目监督，提高财政资金使用效率。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项目负责人：唐欢</w:t>
            </w:r>
          </w:p>
        </w:tc>
        <w:tc>
          <w:tcPr>
            <w:tcW w:w="47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财务负责人：何梅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123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118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111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91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87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144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4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75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51080023R000007612345-规范后市级基础绩效奖及生活补助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4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广元市民政局部门</w:t>
            </w:r>
          </w:p>
        </w:tc>
        <w:tc>
          <w:tcPr>
            <w:tcW w:w="87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广元市救助管理站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4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32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c>
          <w:tcPr>
            <w:tcW w:w="4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严格执行相关政策，保障工资及时发放、足额发放，预算编制科学合理，减少结余资金</w:t>
            </w:r>
          </w:p>
        </w:tc>
        <w:tc>
          <w:tcPr>
            <w:tcW w:w="32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按时完成职工福利待遇的发放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75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按月支付工资、保险、住房公积金等，保障工资及时发放、足额发放。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36.64</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36.64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auto"/>
                <w:sz w:val="18"/>
                <w:szCs w:val="18"/>
                <w:u w:val="none"/>
              </w:rPr>
            </w:pPr>
            <w:r>
              <w:rPr>
                <w:rFonts w:hint="eastAsia" w:ascii="黑体" w:hAnsi="黑体" w:eastAsia="黑体" w:cs="黑体"/>
                <w:i/>
                <w:iCs/>
                <w:color w:val="auto"/>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36.64</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36.64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87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我单位主要抓好预算绩效过程管理，建立全过程预算绩效管理链条。预算编制环节绩效目标管理与预算编制同步；按照财政部门要求反馈结果应用，积极配合评价工作。开展绩效监控，对绩效目标实现程度和预算执行进度实行“双监控”，努力发挥项目效益，部门整体支出绩效达到预期目标。自评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87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在对待绩效评价的认识上有差距。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87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一是加强学习，提高认识；二是加强项目监督，提高财政资金使用效率。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项目负责人：唐欢</w:t>
            </w:r>
          </w:p>
        </w:tc>
        <w:tc>
          <w:tcPr>
            <w:tcW w:w="47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财务负责人：何梅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123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118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111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91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87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144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24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75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51080021T000000050260-流浪乞讨人员救助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4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广元市民政局部门</w:t>
            </w:r>
          </w:p>
        </w:tc>
        <w:tc>
          <w:tcPr>
            <w:tcW w:w="87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广元市救助管理站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4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32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c>
          <w:tcPr>
            <w:tcW w:w="4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1、救助人数达600人次。</w:t>
            </w:r>
            <w:r>
              <w:rPr>
                <w:rFonts w:ascii="宋体" w:hAnsi="宋体" w:eastAsia="宋体" w:cs="宋体"/>
                <w:i w:val="0"/>
                <w:iCs w:val="0"/>
                <w:color w:val="auto"/>
                <w:kern w:val="0"/>
                <w:sz w:val="18"/>
                <w:szCs w:val="18"/>
                <w:u w:val="none"/>
                <w:lang w:val="en-US" w:eastAsia="zh-CN" w:bidi="ar"/>
              </w:rPr>
              <w:br w:type="textWrapping"/>
            </w:r>
            <w:r>
              <w:rPr>
                <w:rFonts w:ascii="宋体" w:hAnsi="宋体" w:eastAsia="宋体" w:cs="宋体"/>
                <w:i w:val="0"/>
                <w:iCs w:val="0"/>
                <w:color w:val="auto"/>
                <w:kern w:val="0"/>
                <w:sz w:val="18"/>
                <w:szCs w:val="18"/>
                <w:u w:val="none"/>
                <w:lang w:val="en-US" w:eastAsia="zh-CN" w:bidi="ar"/>
              </w:rPr>
              <w:t>2、未成年社会保护点16个。</w:t>
            </w:r>
            <w:r>
              <w:rPr>
                <w:rFonts w:ascii="宋体" w:hAnsi="宋体" w:eastAsia="宋体" w:cs="宋体"/>
                <w:i w:val="0"/>
                <w:iCs w:val="0"/>
                <w:color w:val="auto"/>
                <w:kern w:val="0"/>
                <w:sz w:val="18"/>
                <w:szCs w:val="18"/>
                <w:u w:val="none"/>
                <w:lang w:val="en-US" w:eastAsia="zh-CN" w:bidi="ar"/>
              </w:rPr>
              <w:br w:type="textWrapping"/>
            </w:r>
            <w:r>
              <w:rPr>
                <w:rFonts w:ascii="宋体" w:hAnsi="宋体" w:eastAsia="宋体" w:cs="宋体"/>
                <w:i w:val="0"/>
                <w:iCs w:val="0"/>
                <w:color w:val="auto"/>
                <w:kern w:val="0"/>
                <w:sz w:val="18"/>
                <w:szCs w:val="18"/>
                <w:u w:val="none"/>
                <w:lang w:val="en-US" w:eastAsia="zh-CN" w:bidi="ar"/>
              </w:rPr>
              <w:t>3、临时安置好100多人 。</w:t>
            </w:r>
          </w:p>
        </w:tc>
        <w:tc>
          <w:tcPr>
            <w:tcW w:w="32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全年完成620人次救助，未成年人社会保护站点正常运行，临时安置好130多人。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75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我站始终坚持“自愿求助、无偿救助、依法救助”的工作原则，做好受助人员身份甄别、家庭地址查询、日常生活管理服务，进行生活救助、医疗救助、主动救助、返乡救助、教育矫治、临时安置及未成年人生活保护等救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615.12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484.57</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484.57</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auto"/>
                <w:sz w:val="18"/>
                <w:szCs w:val="18"/>
                <w:u w:val="none"/>
              </w:rPr>
            </w:pPr>
            <w:r>
              <w:rPr>
                <w:rFonts w:hint="eastAsia" w:ascii="黑体" w:hAnsi="黑体" w:eastAsia="黑体" w:cs="黑体"/>
                <w:i/>
                <w:iCs/>
                <w:color w:val="auto"/>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615.12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484.57</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484.57</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产出指标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数量指标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救助人数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600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人次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620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效益指标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社会效益指标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社会稳定</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定性</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优良中低差</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满意度指标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服务对象满意度指标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服务对象满意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87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我单位主要抓好预算绩效过程管理，建立全过程预算绩效管理链条。预算编制环节绩效目标管理与预算编制同步；按照财政部门要求反馈结果应用，积极配合评价工作。开展绩效监控，对绩效目标实现程度和预算执行进度实行“双监控”，努力发挥项目效益，部门整体支出绩效达到预期目标。自评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87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在对待绩效评价的认识上有差距。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87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一是加强学习，提高认识；二是加强项目监督，提高财政资金使用效率。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项目负责人：谢军</w:t>
            </w:r>
          </w:p>
        </w:tc>
        <w:tc>
          <w:tcPr>
            <w:tcW w:w="47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财务负责人：唐欢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123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118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111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91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87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144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24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75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51080022T000004940218-乡村振兴工作经费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4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广元市民政局部门</w:t>
            </w:r>
          </w:p>
        </w:tc>
        <w:tc>
          <w:tcPr>
            <w:tcW w:w="87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广元市救助管理站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4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32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c>
          <w:tcPr>
            <w:tcW w:w="4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广元市救助管理站乡村振兴重点帮扶100户，人均年纯收入超过6000元。</w:t>
            </w:r>
          </w:p>
        </w:tc>
        <w:tc>
          <w:tcPr>
            <w:tcW w:w="32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我站安排3名工作人员负责乡村振兴帮扶工作，配合乡镇全面完成乡村振兴工作任务。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75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依据市委、市政府要求，我站乡村振兴对口帮扶旺苍县木门镇青坪村，我站指派3名工作人员负责乡村振兴工作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5.46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5.46</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5.46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auto"/>
                <w:sz w:val="18"/>
                <w:szCs w:val="18"/>
                <w:u w:val="none"/>
              </w:rPr>
            </w:pPr>
            <w:r>
              <w:rPr>
                <w:rFonts w:hint="eastAsia" w:ascii="黑体" w:hAnsi="黑体" w:eastAsia="黑体" w:cs="黑体"/>
                <w:i/>
                <w:iCs/>
                <w:color w:val="auto"/>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5.46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5.46</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5.46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产出指标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数量指标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重点户数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效益指标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经济效益指标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人均年纯收入</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6000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元/年</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6200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满意度指标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服务对象满意度指标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87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我单位主要抓好预算绩效过程管理，建立全过程预算绩效管理链条。预算编制环节绩效目标管理与预算编制同步；按照财政部门要求反馈结果应用，积极配合评价工作。开展绩效监控，对绩效目标实现程度和预算执行进度实行“双监控”，努力发挥项目效益，部门整体支出绩效达到预期目标。自评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87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在对待绩效评价的认识上有差距。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87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一是加强学习，提高认识；二是加强项目监督，提高财政资金使用效率。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项目负责人：王历丰</w:t>
            </w:r>
          </w:p>
        </w:tc>
        <w:tc>
          <w:tcPr>
            <w:tcW w:w="47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财务负责人：唐欢</w:t>
            </w:r>
          </w:p>
        </w:tc>
      </w:tr>
    </w:tbl>
    <w:p>
      <w:pPr>
        <w:pStyle w:val="2"/>
        <w:spacing w:before="93"/>
        <w:rPr>
          <w:rFonts w:hAnsi="Calibri" w:cs="仿宋"/>
          <w:color w:val="auto"/>
          <w:sz w:val="32"/>
          <w:szCs w:val="32"/>
        </w:rPr>
      </w:pPr>
    </w:p>
    <w:p>
      <w:pPr>
        <w:pStyle w:val="2"/>
        <w:spacing w:before="93"/>
        <w:rPr>
          <w:rFonts w:hAnsi="Calibri" w:cs="仿宋"/>
          <w:color w:val="auto"/>
          <w:sz w:val="32"/>
          <w:szCs w:val="32"/>
        </w:rPr>
      </w:pPr>
    </w:p>
    <w:p>
      <w:pPr>
        <w:pStyle w:val="2"/>
        <w:spacing w:before="93"/>
        <w:rPr>
          <w:rFonts w:hAnsi="Calibri" w:cs="仿宋"/>
          <w:color w:val="auto"/>
          <w:sz w:val="32"/>
          <w:szCs w:val="32"/>
        </w:rPr>
      </w:pPr>
    </w:p>
    <w:p>
      <w:pPr>
        <w:pStyle w:val="2"/>
        <w:spacing w:before="93"/>
        <w:rPr>
          <w:rFonts w:hAnsi="Calibri" w:cs="仿宋"/>
          <w:color w:val="auto"/>
          <w:sz w:val="32"/>
          <w:szCs w:val="32"/>
        </w:rPr>
      </w:pPr>
    </w:p>
    <w:p>
      <w:pPr>
        <w:pStyle w:val="2"/>
        <w:spacing w:before="93"/>
        <w:rPr>
          <w:rFonts w:hAnsi="Calibri" w:cs="仿宋"/>
          <w:color w:val="auto"/>
          <w:sz w:val="32"/>
          <w:szCs w:val="32"/>
        </w:rPr>
      </w:pPr>
    </w:p>
    <w:p>
      <w:pPr>
        <w:pStyle w:val="2"/>
        <w:spacing w:before="93"/>
        <w:rPr>
          <w:rFonts w:hAnsi="Calibri" w:cs="仿宋"/>
          <w:color w:val="auto"/>
          <w:sz w:val="32"/>
          <w:szCs w:val="32"/>
        </w:rPr>
      </w:pPr>
    </w:p>
    <w:p>
      <w:pPr>
        <w:pStyle w:val="2"/>
        <w:spacing w:before="93"/>
        <w:rPr>
          <w:rFonts w:hAnsi="Calibri" w:cs="仿宋"/>
          <w:color w:val="auto"/>
          <w:sz w:val="32"/>
          <w:szCs w:val="32"/>
        </w:rPr>
      </w:pPr>
    </w:p>
    <w:p>
      <w:pPr>
        <w:pStyle w:val="2"/>
        <w:spacing w:before="93"/>
        <w:rPr>
          <w:rFonts w:hAnsi="Calibri" w:cs="仿宋"/>
          <w:color w:val="auto"/>
          <w:sz w:val="32"/>
          <w:szCs w:val="32"/>
        </w:rPr>
      </w:pPr>
    </w:p>
    <w:p>
      <w:pPr>
        <w:pStyle w:val="2"/>
        <w:spacing w:before="93"/>
        <w:rPr>
          <w:rFonts w:hAnsi="Calibri" w:cs="仿宋"/>
          <w:color w:val="auto"/>
          <w:sz w:val="32"/>
          <w:szCs w:val="32"/>
        </w:rPr>
      </w:pPr>
    </w:p>
    <w:p>
      <w:pPr>
        <w:pStyle w:val="2"/>
        <w:spacing w:before="93"/>
        <w:rPr>
          <w:rFonts w:hAnsi="Calibri" w:cs="仿宋"/>
          <w:color w:val="auto"/>
          <w:sz w:val="32"/>
          <w:szCs w:val="32"/>
        </w:rPr>
      </w:pPr>
    </w:p>
    <w:p>
      <w:pPr>
        <w:pStyle w:val="2"/>
        <w:spacing w:before="93"/>
        <w:rPr>
          <w:rFonts w:hAnsi="Calibri" w:cs="仿宋"/>
          <w:color w:val="auto"/>
          <w:sz w:val="32"/>
          <w:szCs w:val="32"/>
        </w:rPr>
      </w:pPr>
    </w:p>
    <w:p>
      <w:pPr>
        <w:pStyle w:val="2"/>
        <w:spacing w:before="93"/>
        <w:rPr>
          <w:rFonts w:hAnsi="Calibri" w:cs="仿宋"/>
          <w:color w:val="auto"/>
          <w:sz w:val="32"/>
          <w:szCs w:val="32"/>
        </w:rPr>
      </w:pPr>
    </w:p>
    <w:p>
      <w:pPr>
        <w:pStyle w:val="2"/>
        <w:spacing w:before="93"/>
        <w:rPr>
          <w:rFonts w:hAnsi="Calibri" w:cs="仿宋"/>
          <w:color w:val="auto"/>
          <w:sz w:val="32"/>
          <w:szCs w:val="32"/>
        </w:rPr>
      </w:pPr>
    </w:p>
    <w:p>
      <w:pPr>
        <w:pStyle w:val="2"/>
        <w:spacing w:before="93"/>
        <w:rPr>
          <w:rFonts w:hAnsi="Calibri" w:cs="仿宋"/>
          <w:color w:val="auto"/>
          <w:sz w:val="32"/>
          <w:szCs w:val="32"/>
        </w:rPr>
      </w:pPr>
    </w:p>
    <w:p>
      <w:pPr>
        <w:pStyle w:val="2"/>
        <w:spacing w:before="93"/>
        <w:rPr>
          <w:rFonts w:hAnsi="Calibri" w:cs="仿宋"/>
          <w:color w:val="auto"/>
          <w:sz w:val="32"/>
          <w:szCs w:val="32"/>
        </w:rPr>
      </w:pPr>
    </w:p>
    <w:p>
      <w:pPr>
        <w:pStyle w:val="2"/>
        <w:spacing w:before="93"/>
        <w:rPr>
          <w:rFonts w:hAnsi="Calibri" w:cs="仿宋"/>
          <w:color w:val="auto"/>
          <w:sz w:val="32"/>
          <w:szCs w:val="32"/>
        </w:rPr>
      </w:pPr>
    </w:p>
    <w:p>
      <w:pPr>
        <w:spacing w:line="600" w:lineRule="exact"/>
        <w:jc w:val="center"/>
        <w:outlineLvl w:val="0"/>
        <w:rPr>
          <w:rStyle w:val="24"/>
          <w:rFonts w:hint="eastAsia" w:ascii="黑体" w:hAnsi="黑体" w:eastAsia="黑体"/>
          <w:b w:val="0"/>
          <w:color w:val="auto"/>
        </w:rPr>
      </w:pPr>
      <w:r>
        <w:rPr>
          <w:rFonts w:hint="eastAsia" w:ascii="黑体" w:hAnsi="黑体" w:eastAsia="黑体"/>
          <w:color w:val="auto"/>
          <w:sz w:val="44"/>
          <w:szCs w:val="44"/>
        </w:rPr>
        <w:t>第</w:t>
      </w:r>
      <w:r>
        <w:rPr>
          <w:rStyle w:val="24"/>
          <w:rFonts w:hint="eastAsia" w:ascii="黑体" w:hAnsi="黑体" w:eastAsia="黑体"/>
          <w:b w:val="0"/>
          <w:color w:val="auto"/>
        </w:rPr>
        <w:t>五部分 附表</w:t>
      </w:r>
      <w:bookmarkEnd w:id="51"/>
      <w:bookmarkEnd w:id="53"/>
      <w:bookmarkStart w:id="54" w:name="_Toc15396619"/>
    </w:p>
    <w:p>
      <w:pPr>
        <w:pStyle w:val="2"/>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一、收入支出决算总表</w:t>
      </w:r>
      <w:bookmarkEnd w:id="54"/>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bookmarkStart w:id="55" w:name="_Toc15396620"/>
      <w:r>
        <w:rPr>
          <w:rFonts w:hint="eastAsia" w:ascii="仿宋_GB2312" w:hAnsi="仿宋_GB2312" w:eastAsia="仿宋_GB2312" w:cs="仿宋_GB2312"/>
          <w:b w:val="0"/>
          <w:bCs w:val="0"/>
          <w:color w:val="auto"/>
          <w:kern w:val="2"/>
          <w:sz w:val="32"/>
          <w:szCs w:val="32"/>
          <w:lang w:val="en-US" w:eastAsia="zh-CN" w:bidi="ar-SA"/>
        </w:rPr>
        <w:t>二、收入决算表</w:t>
      </w:r>
      <w:bookmarkEnd w:id="55"/>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bookmarkStart w:id="56" w:name="_Toc15396621"/>
      <w:r>
        <w:rPr>
          <w:rFonts w:hint="eastAsia" w:ascii="仿宋_GB2312" w:hAnsi="仿宋_GB2312" w:eastAsia="仿宋_GB2312" w:cs="仿宋_GB2312"/>
          <w:b w:val="0"/>
          <w:bCs w:val="0"/>
          <w:color w:val="auto"/>
          <w:kern w:val="2"/>
          <w:sz w:val="32"/>
          <w:szCs w:val="32"/>
          <w:lang w:val="en-US" w:eastAsia="zh-CN" w:bidi="ar-SA"/>
        </w:rPr>
        <w:t>三、支出决算表</w:t>
      </w:r>
      <w:bookmarkEnd w:id="56"/>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bookmarkStart w:id="57" w:name="_Toc15396622"/>
      <w:r>
        <w:rPr>
          <w:rFonts w:hint="eastAsia" w:ascii="仿宋_GB2312" w:hAnsi="仿宋_GB2312" w:eastAsia="仿宋_GB2312" w:cs="仿宋_GB2312"/>
          <w:b w:val="0"/>
          <w:bCs w:val="0"/>
          <w:color w:val="auto"/>
          <w:kern w:val="2"/>
          <w:sz w:val="32"/>
          <w:szCs w:val="32"/>
          <w:lang w:val="en-US" w:eastAsia="zh-CN" w:bidi="ar-SA"/>
        </w:rPr>
        <w:t>四、财政拨款收入支出决算总表</w:t>
      </w:r>
      <w:bookmarkEnd w:id="57"/>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bookmarkStart w:id="58" w:name="_Toc15396623"/>
      <w:r>
        <w:rPr>
          <w:rFonts w:hint="eastAsia" w:ascii="仿宋_GB2312" w:hAnsi="仿宋_GB2312" w:eastAsia="仿宋_GB2312" w:cs="仿宋_GB2312"/>
          <w:b w:val="0"/>
          <w:bCs w:val="0"/>
          <w:color w:val="auto"/>
          <w:kern w:val="2"/>
          <w:sz w:val="32"/>
          <w:szCs w:val="32"/>
          <w:lang w:val="en-US" w:eastAsia="zh-CN" w:bidi="ar-SA"/>
        </w:rPr>
        <w:t>五、财政拨款支出决算明细表</w:t>
      </w:r>
      <w:bookmarkEnd w:id="58"/>
      <w:bookmarkStart w:id="59" w:name="_Toc15396624"/>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六、一般公共预算财政拨款支出决算表</w:t>
      </w:r>
      <w:bookmarkEnd w:id="59"/>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bookmarkStart w:id="60" w:name="_Toc15396625"/>
      <w:r>
        <w:rPr>
          <w:rFonts w:hint="eastAsia" w:ascii="仿宋_GB2312" w:hAnsi="仿宋_GB2312" w:eastAsia="仿宋_GB2312" w:cs="仿宋_GB2312"/>
          <w:b w:val="0"/>
          <w:bCs w:val="0"/>
          <w:color w:val="auto"/>
          <w:kern w:val="2"/>
          <w:sz w:val="32"/>
          <w:szCs w:val="32"/>
          <w:lang w:val="en-US" w:eastAsia="zh-CN" w:bidi="ar-SA"/>
        </w:rPr>
        <w:t>七、一般公共预算财政拨款支出决算明细表</w:t>
      </w:r>
      <w:bookmarkEnd w:id="60"/>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bookmarkStart w:id="61" w:name="_Toc15396626"/>
      <w:r>
        <w:rPr>
          <w:rFonts w:hint="eastAsia" w:ascii="仿宋_GB2312" w:hAnsi="仿宋_GB2312" w:eastAsia="仿宋_GB2312" w:cs="仿宋_GB2312"/>
          <w:b w:val="0"/>
          <w:bCs w:val="0"/>
          <w:color w:val="auto"/>
          <w:kern w:val="2"/>
          <w:sz w:val="32"/>
          <w:szCs w:val="32"/>
          <w:lang w:val="en-US" w:eastAsia="zh-CN" w:bidi="ar-SA"/>
        </w:rPr>
        <w:t>八、一般公共预算财政拨款基本支出决算表</w:t>
      </w:r>
      <w:bookmarkEnd w:id="61"/>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bookmarkStart w:id="62" w:name="_Toc15396627"/>
      <w:r>
        <w:rPr>
          <w:rFonts w:hint="eastAsia" w:ascii="仿宋_GB2312" w:hAnsi="仿宋_GB2312" w:eastAsia="仿宋_GB2312" w:cs="仿宋_GB2312"/>
          <w:b w:val="0"/>
          <w:bCs w:val="0"/>
          <w:color w:val="auto"/>
          <w:kern w:val="2"/>
          <w:sz w:val="32"/>
          <w:szCs w:val="32"/>
          <w:lang w:val="en-US" w:eastAsia="zh-CN" w:bidi="ar-SA"/>
        </w:rPr>
        <w:t>九、一般公共预算财政拨款项目支出决算表</w:t>
      </w:r>
      <w:bookmarkEnd w:id="62"/>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bookmarkStart w:id="63" w:name="_Toc15396628"/>
      <w:r>
        <w:rPr>
          <w:rFonts w:hint="eastAsia" w:ascii="仿宋_GB2312" w:hAnsi="仿宋_GB2312" w:eastAsia="仿宋_GB2312" w:cs="仿宋_GB2312"/>
          <w:b w:val="0"/>
          <w:bCs w:val="0"/>
          <w:color w:val="auto"/>
          <w:kern w:val="2"/>
          <w:sz w:val="32"/>
          <w:szCs w:val="32"/>
          <w:lang w:val="en-US" w:eastAsia="zh-CN" w:bidi="ar-SA"/>
        </w:rPr>
        <w:t>十、</w:t>
      </w:r>
      <w:bookmarkEnd w:id="63"/>
      <w:r>
        <w:rPr>
          <w:rFonts w:hint="eastAsia" w:ascii="仿宋_GB2312" w:hAnsi="仿宋_GB2312" w:eastAsia="仿宋_GB2312" w:cs="仿宋_GB2312"/>
          <w:b w:val="0"/>
          <w:bCs w:val="0"/>
          <w:color w:val="auto"/>
          <w:kern w:val="2"/>
          <w:sz w:val="32"/>
          <w:szCs w:val="32"/>
          <w:lang w:val="en-US" w:eastAsia="zh-CN" w:bidi="ar-SA"/>
        </w:rPr>
        <w:t>政府性基金预算财政拨款收入支出决算表</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bookmarkStart w:id="64" w:name="_Toc15396629"/>
      <w:r>
        <w:rPr>
          <w:rFonts w:hint="eastAsia" w:ascii="仿宋_GB2312" w:hAnsi="仿宋_GB2312" w:eastAsia="仿宋_GB2312" w:cs="仿宋_GB2312"/>
          <w:b w:val="0"/>
          <w:bCs w:val="0"/>
          <w:color w:val="auto"/>
          <w:kern w:val="2"/>
          <w:sz w:val="32"/>
          <w:szCs w:val="32"/>
          <w:lang w:val="en-US" w:eastAsia="zh-CN" w:bidi="ar-SA"/>
        </w:rPr>
        <w:t>十一、</w:t>
      </w:r>
      <w:bookmarkEnd w:id="64"/>
      <w:r>
        <w:rPr>
          <w:rFonts w:hint="eastAsia" w:ascii="仿宋_GB2312" w:hAnsi="仿宋_GB2312" w:eastAsia="仿宋_GB2312" w:cs="仿宋_GB2312"/>
          <w:b w:val="0"/>
          <w:bCs w:val="0"/>
          <w:color w:val="auto"/>
          <w:kern w:val="2"/>
          <w:sz w:val="32"/>
          <w:szCs w:val="32"/>
          <w:lang w:val="en-US" w:eastAsia="zh-CN" w:bidi="ar-SA"/>
        </w:rPr>
        <w:t>国有资本经营预算财政拨款收入支出决算表</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bookmarkStart w:id="65" w:name="_Toc15396630"/>
      <w:r>
        <w:rPr>
          <w:rFonts w:hint="eastAsia" w:ascii="仿宋_GB2312" w:hAnsi="仿宋_GB2312" w:eastAsia="仿宋_GB2312" w:cs="仿宋_GB2312"/>
          <w:b w:val="0"/>
          <w:bCs w:val="0"/>
          <w:color w:val="auto"/>
          <w:kern w:val="2"/>
          <w:sz w:val="32"/>
          <w:szCs w:val="32"/>
          <w:lang w:val="en-US" w:eastAsia="zh-CN" w:bidi="ar-SA"/>
        </w:rPr>
        <w:t>十二、</w:t>
      </w:r>
      <w:bookmarkEnd w:id="65"/>
      <w:r>
        <w:rPr>
          <w:rFonts w:hint="eastAsia" w:ascii="仿宋_GB2312" w:hAnsi="仿宋_GB2312" w:eastAsia="仿宋_GB2312" w:cs="仿宋_GB2312"/>
          <w:b w:val="0"/>
          <w:bCs w:val="0"/>
          <w:color w:val="auto"/>
          <w:kern w:val="2"/>
          <w:sz w:val="32"/>
          <w:szCs w:val="32"/>
          <w:lang w:val="en-US" w:eastAsia="zh-CN" w:bidi="ar-SA"/>
        </w:rPr>
        <w:t>国有资本经营预算财政拨款支出决算表</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bookmarkStart w:id="66" w:name="_Toc15396631"/>
      <w:r>
        <w:rPr>
          <w:rFonts w:hint="eastAsia" w:ascii="仿宋_GB2312" w:hAnsi="仿宋_GB2312" w:eastAsia="仿宋_GB2312" w:cs="仿宋_GB2312"/>
          <w:b w:val="0"/>
          <w:bCs w:val="0"/>
          <w:color w:val="auto"/>
          <w:kern w:val="2"/>
          <w:sz w:val="32"/>
          <w:szCs w:val="32"/>
          <w:lang w:val="en-US" w:eastAsia="zh-CN" w:bidi="ar-SA"/>
        </w:rPr>
        <w:t>十三、</w:t>
      </w:r>
      <w:bookmarkEnd w:id="66"/>
      <w:r>
        <w:rPr>
          <w:rFonts w:hint="eastAsia" w:ascii="仿宋_GB2312" w:hAnsi="仿宋_GB2312" w:eastAsia="仿宋_GB2312" w:cs="仿宋_GB2312"/>
          <w:b w:val="0"/>
          <w:bCs w:val="0"/>
          <w:color w:val="auto"/>
          <w:kern w:val="2"/>
          <w:sz w:val="32"/>
          <w:szCs w:val="32"/>
          <w:lang w:val="en-US" w:eastAsia="zh-CN" w:bidi="ar-SA"/>
        </w:rPr>
        <w:t>财政拨款“三公”经费支出决算表</w:t>
      </w:r>
    </w:p>
    <w:sectPr>
      <w:footerReference r:id="rId8" w:type="first"/>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方正仿宋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黑体">
    <w:altName w:val="方正黑体_GBK"/>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11</w:t>
        </w:r>
        <w:r>
          <w:fldChar w:fldCharType="end"/>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11</w:t>
        </w:r>
        <w:r>
          <w:fldChar w:fldCharType="end"/>
        </w:r>
      </w:p>
    </w:sdtContent>
  </w:sdt>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02FBB490"/>
    <w:multiLevelType w:val="singleLevel"/>
    <w:tmpl w:val="02FBB490"/>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RmNjBhN2Q3Y2Q2MzMzYTBmNGNkZTA5NmQ4MmEyMjMifQ=="/>
  </w:docVars>
  <w:rsids>
    <w:rsidRoot w:val="00F1361C"/>
    <w:rsid w:val="000222C6"/>
    <w:rsid w:val="0002549F"/>
    <w:rsid w:val="000468DB"/>
    <w:rsid w:val="0006487A"/>
    <w:rsid w:val="00065F8F"/>
    <w:rsid w:val="00070A43"/>
    <w:rsid w:val="000768F2"/>
    <w:rsid w:val="00083A4F"/>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27E6B"/>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1E2D"/>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91FF5"/>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130C60"/>
    <w:rsid w:val="04DD3F64"/>
    <w:rsid w:val="05094D59"/>
    <w:rsid w:val="053A62B5"/>
    <w:rsid w:val="05942874"/>
    <w:rsid w:val="06D625E4"/>
    <w:rsid w:val="06E10344"/>
    <w:rsid w:val="08E21B49"/>
    <w:rsid w:val="0A2032A3"/>
    <w:rsid w:val="0A6842D0"/>
    <w:rsid w:val="0A742C74"/>
    <w:rsid w:val="0AE20526"/>
    <w:rsid w:val="0B8A37D8"/>
    <w:rsid w:val="0CE642FD"/>
    <w:rsid w:val="0D865199"/>
    <w:rsid w:val="0E196E69"/>
    <w:rsid w:val="0F0B275A"/>
    <w:rsid w:val="10C055FF"/>
    <w:rsid w:val="118107EC"/>
    <w:rsid w:val="11DD6519"/>
    <w:rsid w:val="121E0096"/>
    <w:rsid w:val="14773A8D"/>
    <w:rsid w:val="14CC75EE"/>
    <w:rsid w:val="15D504DD"/>
    <w:rsid w:val="16557DFE"/>
    <w:rsid w:val="16BB723D"/>
    <w:rsid w:val="17D42FA4"/>
    <w:rsid w:val="18015F3F"/>
    <w:rsid w:val="19834C82"/>
    <w:rsid w:val="1B886580"/>
    <w:rsid w:val="1BE400DF"/>
    <w:rsid w:val="1BE8440E"/>
    <w:rsid w:val="1CCE4466"/>
    <w:rsid w:val="1D155CEE"/>
    <w:rsid w:val="1DE2475C"/>
    <w:rsid w:val="1E9E60BA"/>
    <w:rsid w:val="1F572E39"/>
    <w:rsid w:val="205904EB"/>
    <w:rsid w:val="20A51EFA"/>
    <w:rsid w:val="20F57F95"/>
    <w:rsid w:val="23DA1943"/>
    <w:rsid w:val="240371BF"/>
    <w:rsid w:val="25711CC6"/>
    <w:rsid w:val="257A33DD"/>
    <w:rsid w:val="25981AB5"/>
    <w:rsid w:val="25C741E6"/>
    <w:rsid w:val="25F75D59"/>
    <w:rsid w:val="27842671"/>
    <w:rsid w:val="27C9483A"/>
    <w:rsid w:val="27FF5E1C"/>
    <w:rsid w:val="285643F4"/>
    <w:rsid w:val="29FD04D3"/>
    <w:rsid w:val="2ABE7A3E"/>
    <w:rsid w:val="2CA234A8"/>
    <w:rsid w:val="2DEA131C"/>
    <w:rsid w:val="2E9A4AF0"/>
    <w:rsid w:val="2EFA178C"/>
    <w:rsid w:val="3045283A"/>
    <w:rsid w:val="30B46D73"/>
    <w:rsid w:val="3195334D"/>
    <w:rsid w:val="319F7F4E"/>
    <w:rsid w:val="33B757FC"/>
    <w:rsid w:val="359A3379"/>
    <w:rsid w:val="37D83F93"/>
    <w:rsid w:val="38172D0E"/>
    <w:rsid w:val="383D272C"/>
    <w:rsid w:val="38B467AE"/>
    <w:rsid w:val="39902D77"/>
    <w:rsid w:val="399A1E48"/>
    <w:rsid w:val="39AE70AB"/>
    <w:rsid w:val="39B5458C"/>
    <w:rsid w:val="3BF7BB23"/>
    <w:rsid w:val="3C0C0783"/>
    <w:rsid w:val="3E9A6446"/>
    <w:rsid w:val="3F9F3A96"/>
    <w:rsid w:val="3FB53538"/>
    <w:rsid w:val="4077259B"/>
    <w:rsid w:val="40FB141E"/>
    <w:rsid w:val="41085755"/>
    <w:rsid w:val="41E81277"/>
    <w:rsid w:val="421B789E"/>
    <w:rsid w:val="42DD6902"/>
    <w:rsid w:val="473C009B"/>
    <w:rsid w:val="48743864"/>
    <w:rsid w:val="48AE6D76"/>
    <w:rsid w:val="48BF60AB"/>
    <w:rsid w:val="48CB4C76"/>
    <w:rsid w:val="493C27E9"/>
    <w:rsid w:val="4950607F"/>
    <w:rsid w:val="496F39ED"/>
    <w:rsid w:val="49D03DC3"/>
    <w:rsid w:val="49FF41D3"/>
    <w:rsid w:val="4BDC0D0F"/>
    <w:rsid w:val="4BE068DB"/>
    <w:rsid w:val="4BF6002B"/>
    <w:rsid w:val="4C172E84"/>
    <w:rsid w:val="4CD60F91"/>
    <w:rsid w:val="4CE865CF"/>
    <w:rsid w:val="4D245859"/>
    <w:rsid w:val="4D4128AF"/>
    <w:rsid w:val="4D761E2D"/>
    <w:rsid w:val="4ECE2238"/>
    <w:rsid w:val="4FCD042A"/>
    <w:rsid w:val="519D207E"/>
    <w:rsid w:val="51DB4B86"/>
    <w:rsid w:val="533E519B"/>
    <w:rsid w:val="55333C3E"/>
    <w:rsid w:val="566B62A7"/>
    <w:rsid w:val="57603931"/>
    <w:rsid w:val="57C57C38"/>
    <w:rsid w:val="57DD1A9C"/>
    <w:rsid w:val="58896EB8"/>
    <w:rsid w:val="5ABA3CA0"/>
    <w:rsid w:val="5B022F52"/>
    <w:rsid w:val="5B8147BE"/>
    <w:rsid w:val="5CC2508E"/>
    <w:rsid w:val="5DB03139"/>
    <w:rsid w:val="615D0EE2"/>
    <w:rsid w:val="634D728C"/>
    <w:rsid w:val="649C7F73"/>
    <w:rsid w:val="64CA39A1"/>
    <w:rsid w:val="65624D19"/>
    <w:rsid w:val="65DD6A95"/>
    <w:rsid w:val="66B6356E"/>
    <w:rsid w:val="69630ADE"/>
    <w:rsid w:val="69D361E5"/>
    <w:rsid w:val="69D41F5D"/>
    <w:rsid w:val="6A440E91"/>
    <w:rsid w:val="6AED777A"/>
    <w:rsid w:val="6B036F9E"/>
    <w:rsid w:val="6C4A05C8"/>
    <w:rsid w:val="6D3B1A89"/>
    <w:rsid w:val="6E391249"/>
    <w:rsid w:val="6E470F4F"/>
    <w:rsid w:val="6E9354D7"/>
    <w:rsid w:val="6ED00F45"/>
    <w:rsid w:val="6F543924"/>
    <w:rsid w:val="71BF4EC2"/>
    <w:rsid w:val="72734D90"/>
    <w:rsid w:val="72B80F38"/>
    <w:rsid w:val="7412278C"/>
    <w:rsid w:val="744877CF"/>
    <w:rsid w:val="752913AF"/>
    <w:rsid w:val="75956A44"/>
    <w:rsid w:val="76375D4D"/>
    <w:rsid w:val="76AC45ED"/>
    <w:rsid w:val="7904082E"/>
    <w:rsid w:val="79C57F00"/>
    <w:rsid w:val="79E7B28D"/>
    <w:rsid w:val="7A4E3666"/>
    <w:rsid w:val="7B1D7C08"/>
    <w:rsid w:val="7B5B0730"/>
    <w:rsid w:val="7CC85951"/>
    <w:rsid w:val="7D975F2A"/>
    <w:rsid w:val="7E3BAC3B"/>
    <w:rsid w:val="7E9E2E0E"/>
    <w:rsid w:val="7F9F20EE"/>
    <w:rsid w:val="9E3A10E2"/>
    <w:rsid w:val="F2E1F9D4"/>
    <w:rsid w:val="F64FA228"/>
    <w:rsid w:val="F7880819"/>
    <w:rsid w:val="FDBF169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238121546961326"/>
          <c:y val="0.214511041009464"/>
          <c:w val="0.708890005022602"/>
          <c:h val="0.348264984227129"/>
        </c:manualLayout>
      </c:layout>
      <c:barChart>
        <c:barDir val="col"/>
        <c:grouping val="clustered"/>
        <c:varyColors val="false"/>
        <c:ser>
          <c:idx val="0"/>
          <c:order val="0"/>
          <c:tx>
            <c:strRef>
              <c:f>Sheet1!$B$1</c:f>
              <c:strCache>
                <c:ptCount val="1"/>
                <c:pt idx="0">
                  <c:v>收支总计</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8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2299.09</c:v>
                </c:pt>
                <c:pt idx="1">
                  <c:v>1452.16</c:v>
                </c:pt>
              </c:numCache>
            </c:numRef>
          </c:val>
        </c:ser>
        <c:dLbls>
          <c:showLegendKey val="false"/>
          <c:showVal val="true"/>
          <c:showCatName val="false"/>
          <c:showSerName val="false"/>
          <c:showPercent val="false"/>
          <c:showBubbleSize val="false"/>
        </c:dLbls>
        <c:gapWidth val="246"/>
        <c:overlap val="-28"/>
        <c:axId val="139719808"/>
        <c:axId val="141310592"/>
      </c:barChart>
      <c:catAx>
        <c:axId val="139719808"/>
        <c:scaling>
          <c:orientation val="minMax"/>
        </c:scaling>
        <c:delete val="false"/>
        <c:axPos val="b"/>
        <c:title>
          <c:tx>
            <c:rich>
              <a:bodyPr rot="0" spcFirstLastPara="0" vertOverflow="ellipsis" vert="horz" wrap="square" anchor="ctr" anchorCtr="true"/>
              <a:lstStyle/>
              <a:p>
                <a:pPr defTabSz="914400">
                  <a:defRPr lang="zh-CN" sz="800" b="0" i="0" u="none" strike="noStrike" kern="1200" baseline="0">
                    <a:solidFill>
                      <a:schemeClr val="tx1">
                        <a:lumMod val="65000"/>
                        <a:lumOff val="35000"/>
                      </a:schemeClr>
                    </a:solidFill>
                    <a:latin typeface="+mn-lt"/>
                    <a:ea typeface="+mn-ea"/>
                    <a:cs typeface="+mn-cs"/>
                  </a:defRPr>
                </a:pPr>
                <a:r>
                  <a:t>图</a:t>
                </a:r>
                <a:r>
                  <a:rPr lang="en-US" altLang="zh-CN"/>
                  <a:t>1</a:t>
                </a:r>
                <a:r>
                  <a:rPr altLang="en-US"/>
                  <a:t>：收支决算总计变动情况图</a:t>
                </a:r>
                <a:endParaRPr altLang="en-US"/>
              </a:p>
            </c:rich>
          </c:tx>
          <c:layout>
            <c:manualLayout>
              <c:xMode val="edge"/>
              <c:yMode val="edge"/>
              <c:x val="0.187707105021105"/>
              <c:y val="0.851767024210422"/>
            </c:manualLayout>
          </c:layout>
          <c:overlay val="false"/>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800" b="0" i="0" u="none" strike="noStrike" kern="1200" baseline="0">
                <a:solidFill>
                  <a:schemeClr val="tx1">
                    <a:lumMod val="65000"/>
                    <a:lumOff val="35000"/>
                  </a:schemeClr>
                </a:solidFill>
                <a:latin typeface="+mn-lt"/>
                <a:ea typeface="+mn-ea"/>
                <a:cs typeface="+mn-cs"/>
              </a:defRPr>
            </a:pPr>
          </a:p>
        </c:txPr>
        <c:crossAx val="141310592"/>
        <c:crosses val="autoZero"/>
        <c:auto val="true"/>
        <c:lblAlgn val="ctr"/>
        <c:lblOffset val="100"/>
        <c:noMultiLvlLbl val="false"/>
      </c:catAx>
      <c:valAx>
        <c:axId val="141310592"/>
        <c:scaling>
          <c:orientation val="minMax"/>
        </c:scaling>
        <c:delete val="false"/>
        <c:axPos val="l"/>
        <c:majorGridlines>
          <c:spPr>
            <a:ln w="9525" cap="flat" cmpd="sng" algn="ctr">
              <a:solidFill>
                <a:schemeClr val="bg1">
                  <a:lumMod val="90200"/>
                </a:schemeClr>
              </a:solidFill>
              <a:prstDash val="solid"/>
              <a:round/>
            </a:ln>
            <a:effectLst/>
          </c:spPr>
        </c:majorGridlines>
        <c:title>
          <c:tx>
            <c:rich>
              <a:bodyPr rot="-5400000" spcFirstLastPara="0" vertOverflow="ellipsis" vert="horz" wrap="square" anchor="ctr" anchorCtr="true"/>
              <a:lstStyle/>
              <a:p>
                <a:pPr defTabSz="914400">
                  <a:defRPr lang="zh-CN" sz="800" b="0" i="0" u="none" strike="noStrike" kern="1200" baseline="0">
                    <a:solidFill>
                      <a:schemeClr val="tx1">
                        <a:lumMod val="65000"/>
                        <a:lumOff val="35000"/>
                      </a:schemeClr>
                    </a:solidFill>
                    <a:latin typeface="+mn-lt"/>
                    <a:ea typeface="+mn-ea"/>
                    <a:cs typeface="+mn-cs"/>
                  </a:defRPr>
                </a:pPr>
                <a:r>
                  <a:t>单位：万元</a:t>
                </a:r>
              </a:p>
            </c:rich>
          </c:tx>
          <c:layout/>
          <c:overlay val="false"/>
          <c:spPr>
            <a:noFill/>
            <a:ln>
              <a:noFill/>
            </a:ln>
            <a:effectLst/>
          </c:spPr>
        </c:title>
        <c:numFmt formatCode="General" sourceLinked="true"/>
        <c:majorTickMark val="none"/>
        <c:minorTickMark val="none"/>
        <c:tickLblPos val="nextTo"/>
        <c:spPr>
          <a:noFill/>
          <a:ln w="9525" cap="flat" cmpd="sng" algn="ctr">
            <a:noFill/>
            <a:prstDash val="solid"/>
            <a:round/>
          </a:ln>
          <a:effectLst/>
        </c:spPr>
        <c:txPr>
          <a:bodyPr rot="-60000000" spcFirstLastPara="0" vertOverflow="ellipsis" vert="horz" wrap="square" anchor="ctr" anchorCtr="true"/>
          <a:lstStyle/>
          <a:p>
            <a:pPr>
              <a:defRPr lang="zh-CN" sz="800" b="0" i="0" u="none" strike="noStrike" kern="1200" baseline="0">
                <a:solidFill>
                  <a:schemeClr val="tx1">
                    <a:lumMod val="65000"/>
                    <a:lumOff val="35000"/>
                  </a:schemeClr>
                </a:solidFill>
                <a:latin typeface="+mn-lt"/>
                <a:ea typeface="+mn-ea"/>
                <a:cs typeface="+mn-cs"/>
              </a:defRPr>
            </a:pPr>
          </a:p>
        </c:txPr>
        <c:crossAx val="139719808"/>
        <c:crosses val="autoZero"/>
        <c:crossBetween val="between"/>
      </c:valAx>
      <c:spPr>
        <a:noFill/>
        <a:ln>
          <a:noFill/>
        </a:ln>
        <a:effectLst/>
      </c:spPr>
    </c:plotArea>
    <c:legend>
      <c:legendPos val="b"/>
      <c:legendEntry>
        <c:idx val="0"/>
        <c:txPr>
          <a:bodyPr rot="0" spcFirstLastPara="0" vertOverflow="ellipsis" vert="horz" wrap="square" anchor="ctr" anchorCtr="true"/>
          <a:lstStyle/>
          <a:p>
            <a:pPr>
              <a:defRPr lang="zh-CN" sz="800" b="0" i="0" u="none" strike="noStrike" kern="1200" baseline="0">
                <a:solidFill>
                  <a:schemeClr val="tx1">
                    <a:lumMod val="65000"/>
                    <a:lumOff val="35000"/>
                  </a:schemeClr>
                </a:solidFill>
                <a:latin typeface="+mn-lt"/>
                <a:ea typeface="+mn-ea"/>
                <a:cs typeface="+mn-cs"/>
              </a:defRPr>
            </a:pPr>
          </a:p>
        </c:txPr>
      </c:legendEntry>
      <c:layout>
        <c:manualLayout>
          <c:xMode val="edge"/>
          <c:yMode val="edge"/>
          <c:x val="0.364075609387776"/>
          <c:y val="0.730233363693812"/>
        </c:manualLayout>
      </c:layout>
      <c:overlay val="false"/>
      <c:spPr>
        <a:noFill/>
        <a:ln>
          <a:noFill/>
        </a:ln>
        <a:effectLst/>
      </c:spPr>
      <c:txPr>
        <a:bodyPr rot="0" spcFirstLastPara="0" vertOverflow="ellipsis" vert="horz" wrap="square" anchor="ctr" anchorCtr="true"/>
        <a:lstStyle/>
        <a:p>
          <a:pPr>
            <a:defRPr lang="zh-CN" sz="8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sz="800"/>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rPr lang="en-US" altLang="zh-CN"/>
              <a:t>2022</a:t>
            </a:r>
            <a:r>
              <a:rPr altLang="en-US"/>
              <a:t>年本年收入合计</a:t>
            </a:r>
            <a:endParaRPr altLang="en-US"/>
          </a:p>
        </c:rich>
      </c:tx>
      <c:layout/>
      <c:overlay val="false"/>
      <c:spPr>
        <a:noFill/>
        <a:ln>
          <a:noFill/>
        </a:ln>
        <a:effectLst/>
      </c:spPr>
    </c:title>
    <c:autoTitleDeleted val="false"/>
    <c:plotArea>
      <c:layout/>
      <c:pieChart>
        <c:varyColors val="true"/>
        <c:ser>
          <c:idx val="0"/>
          <c:order val="0"/>
          <c:tx>
            <c:strRef>
              <c:f>Sheet1!$B$1</c:f>
              <c:strCache>
                <c:ptCount val="1"/>
                <c:pt idx="0">
                  <c:v>图2：收入决算结构图</c:v>
                </c:pt>
              </c:strCache>
            </c:strRef>
          </c:tx>
          <c:explosion val="0"/>
          <c:dPt>
            <c:idx val="0"/>
            <c:bubble3D val="false"/>
            <c:spPr>
              <a:solidFill>
                <a:schemeClr val="accent1"/>
              </a:solidFill>
              <a:ln>
                <a:solidFill>
                  <a:schemeClr val="bg1"/>
                </a:solidFill>
              </a:ln>
              <a:effectLst/>
            </c:spPr>
          </c:dPt>
          <c:dLbls>
            <c:dLbl>
              <c:idx val="0"/>
              <c:layout>
                <c:manualLayout>
                  <c:x val="0.259664478482859"/>
                  <c:y val="-0.150224215246637"/>
                </c:manualLayout>
              </c:layout>
              <c:tx>
                <c:rich>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r>
                      <a:t>1242.6万元</a:t>
                    </a:r>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manualLayout>
                      <c:w val="0.345003646973012"/>
                      <c:h val="0.261709319169483"/>
                    </c:manualLayout>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fals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一般公算财政拨款收入</c:v>
                </c:pt>
              </c:strCache>
            </c:strRef>
          </c:cat>
          <c:val>
            <c:numRef>
              <c:f>Sheet1!$B$2</c:f>
              <c:numCache>
                <c:formatCode>General</c:formatCode>
                <c:ptCount val="1"/>
                <c:pt idx="0">
                  <c:v>1242.6</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1" i="0" u="none" strike="noStrike" kern="1200" baseline="0">
              <a:solidFill>
                <a:schemeClr val="dk1">
                  <a:lumMod val="75000"/>
                  <a:lumOff val="25000"/>
                </a:schemeClr>
              </a:solidFill>
              <a:latin typeface="+mn-lt"/>
              <a:ea typeface="+mn-ea"/>
              <a:cs typeface="+mn-cs"/>
            </a:defRPr>
          </a:pPr>
        </a:p>
      </c:txPr>
    </c:title>
    <c:autoTitleDeleted val="false"/>
    <c:plotArea>
      <c:layout/>
      <c:pieChart>
        <c:varyColors val="true"/>
        <c:ser>
          <c:idx val="0"/>
          <c:order val="0"/>
          <c:tx>
            <c:strRef>
              <c:f>Sheet1!$B$1</c:f>
              <c:strCache>
                <c:ptCount val="1"/>
                <c:pt idx="0">
                  <c:v>2022年本年支出合计</c:v>
                </c:pt>
              </c:strCache>
            </c:strRef>
          </c:tx>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Lbls>
            <c:dLbl>
              <c:idx val="0"/>
              <c:layout>
                <c:manualLayout>
                  <c:x val="0.131055326499889"/>
                  <c:y val="0.0365049529259554"/>
                </c:manualLayout>
              </c:layout>
              <c:tx>
                <c:rich>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r>
                      <a:rPr lang="en-US" altLang="zh-CN"/>
                      <a:t>967.6</a:t>
                    </a:r>
                    <a:r>
                      <a:rPr altLang="en-US"/>
                      <a:t>万元</a:t>
                    </a:r>
                    <a:r>
                      <a:t>67%</a:t>
                    </a:r>
                  </a:p>
                </c:rich>
              </c:tx>
              <c:dLblPos val="bestFit"/>
              <c:showLegendKey val="false"/>
              <c:showVal val="false"/>
              <c:showCatName val="false"/>
              <c:showSerName val="false"/>
              <c:showPercent val="true"/>
              <c:showBubbleSize val="false"/>
              <c:extLst>
                <c:ext xmlns:c15="http://schemas.microsoft.com/office/drawing/2012/chart" uri="{CE6537A1-D6FC-4f65-9D91-7224C49458BB}">
                  <c15:layout>
                    <c:manualLayout>
                      <c:w val="0.395316804407713"/>
                      <c:h val="0.180734382451121"/>
                    </c:manualLayout>
                  </c15:layout>
                </c:ext>
              </c:extLst>
            </c:dLbl>
            <c:dLbl>
              <c:idx val="1"/>
              <c:layout>
                <c:manualLayout>
                  <c:x val="-0.0795517729397559"/>
                  <c:y val="0.149043688948758"/>
                </c:manualLayout>
              </c:layout>
              <c:tx>
                <c:rich>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r>
                      <a:rPr lang="en-US" altLang="zh-CN"/>
                      <a:t>484.57</a:t>
                    </a:r>
                    <a:r>
                      <a:rPr altLang="en-US"/>
                      <a:t>万元</a:t>
                    </a:r>
                    <a:r>
                      <a:t>33%</a:t>
                    </a:r>
                  </a:p>
                </c:rich>
              </c:tx>
              <c:dLblPos val="bestFit"/>
              <c:showLegendKey val="false"/>
              <c:showVal val="false"/>
              <c:showCatName val="false"/>
              <c:showSerName val="false"/>
              <c:showPercent val="true"/>
              <c:showBubbleSize val="false"/>
              <c:extLst>
                <c:ext xmlns:c15="http://schemas.microsoft.com/office/drawing/2012/chart" uri="{CE6537A1-D6FC-4f65-9D91-7224C49458BB}">
                  <c15:layout>
                    <c:manualLayout>
                      <c:w val="0.183640177114892"/>
                      <c:h val="0.371496437054632"/>
                    </c:manualLayout>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967.6</c:v>
                </c:pt>
                <c:pt idx="1">
                  <c:v>484.57</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r"/>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238121546961326"/>
          <c:y val="0.214511041009464"/>
          <c:w val="0.708890005022602"/>
          <c:h val="0.348264984227129"/>
        </c:manualLayout>
      </c:layout>
      <c:barChart>
        <c:barDir val="col"/>
        <c:grouping val="clustered"/>
        <c:varyColors val="false"/>
        <c:ser>
          <c:idx val="0"/>
          <c:order val="0"/>
          <c:tx>
            <c:strRef>
              <c:f>Sheet1!$B$1</c:f>
              <c:strCache>
                <c:ptCount val="1"/>
                <c:pt idx="0">
                  <c:v>收支总计</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8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2299.09</c:v>
                </c:pt>
                <c:pt idx="1">
                  <c:v>1452.16</c:v>
                </c:pt>
              </c:numCache>
            </c:numRef>
          </c:val>
        </c:ser>
        <c:dLbls>
          <c:showLegendKey val="false"/>
          <c:showVal val="true"/>
          <c:showCatName val="false"/>
          <c:showSerName val="false"/>
          <c:showPercent val="false"/>
          <c:showBubbleSize val="false"/>
        </c:dLbls>
        <c:gapWidth val="246"/>
        <c:overlap val="-28"/>
        <c:axId val="197569920"/>
        <c:axId val="141547008"/>
      </c:barChart>
      <c:catAx>
        <c:axId val="197569920"/>
        <c:scaling>
          <c:orientation val="minMax"/>
        </c:scaling>
        <c:delete val="false"/>
        <c:axPos val="b"/>
        <c:title>
          <c:tx>
            <c:rich>
              <a:bodyPr rot="0" spcFirstLastPara="0" vertOverflow="ellipsis" vert="horz" wrap="square" anchor="ctr" anchorCtr="true"/>
              <a:lstStyle/>
              <a:p>
                <a:pPr defTabSz="914400">
                  <a:defRPr lang="zh-CN" sz="800" b="0" i="0" u="none" strike="noStrike" kern="1200" baseline="0">
                    <a:solidFill>
                      <a:schemeClr val="tx1">
                        <a:lumMod val="65000"/>
                        <a:lumOff val="35000"/>
                      </a:schemeClr>
                    </a:solidFill>
                    <a:latin typeface="+mn-lt"/>
                    <a:ea typeface="+mn-ea"/>
                    <a:cs typeface="+mn-cs"/>
                  </a:defRPr>
                </a:pPr>
                <a:r>
                  <a:t>图</a:t>
                </a:r>
                <a:r>
                  <a:rPr lang="en-US" altLang="zh-CN"/>
                  <a:t>4</a:t>
                </a:r>
                <a:r>
                  <a:rPr altLang="en-US"/>
                  <a:t>：收支决算总计变动情况图</a:t>
                </a:r>
                <a:endParaRPr altLang="en-US"/>
              </a:p>
            </c:rich>
          </c:tx>
          <c:layout>
            <c:manualLayout>
              <c:xMode val="edge"/>
              <c:yMode val="edge"/>
              <c:x val="0.187707105021105"/>
              <c:y val="0.851767024210422"/>
            </c:manualLayout>
          </c:layout>
          <c:overlay val="false"/>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800" b="0" i="0" u="none" strike="noStrike" kern="1200" baseline="0">
                <a:solidFill>
                  <a:schemeClr val="tx1">
                    <a:lumMod val="65000"/>
                    <a:lumOff val="35000"/>
                  </a:schemeClr>
                </a:solidFill>
                <a:latin typeface="+mn-lt"/>
                <a:ea typeface="+mn-ea"/>
                <a:cs typeface="+mn-cs"/>
              </a:defRPr>
            </a:pPr>
          </a:p>
        </c:txPr>
        <c:crossAx val="141547008"/>
        <c:crosses val="autoZero"/>
        <c:auto val="true"/>
        <c:lblAlgn val="ctr"/>
        <c:lblOffset val="100"/>
        <c:noMultiLvlLbl val="false"/>
      </c:catAx>
      <c:valAx>
        <c:axId val="141547008"/>
        <c:scaling>
          <c:orientation val="minMax"/>
        </c:scaling>
        <c:delete val="false"/>
        <c:axPos val="l"/>
        <c:majorGridlines>
          <c:spPr>
            <a:ln w="9525" cap="flat" cmpd="sng" algn="ctr">
              <a:solidFill>
                <a:schemeClr val="bg1">
                  <a:lumMod val="90200"/>
                </a:schemeClr>
              </a:solidFill>
              <a:prstDash val="solid"/>
              <a:round/>
            </a:ln>
            <a:effectLst/>
          </c:spPr>
        </c:majorGridlines>
        <c:title>
          <c:tx>
            <c:rich>
              <a:bodyPr rot="-5400000" spcFirstLastPara="0" vertOverflow="ellipsis" vert="horz" wrap="square" anchor="ctr" anchorCtr="true"/>
              <a:lstStyle/>
              <a:p>
                <a:pPr defTabSz="914400">
                  <a:defRPr lang="zh-CN" sz="800" b="0" i="0" u="none" strike="noStrike" kern="1200" baseline="0">
                    <a:solidFill>
                      <a:schemeClr val="tx1">
                        <a:lumMod val="65000"/>
                        <a:lumOff val="35000"/>
                      </a:schemeClr>
                    </a:solidFill>
                    <a:latin typeface="+mn-lt"/>
                    <a:ea typeface="+mn-ea"/>
                    <a:cs typeface="+mn-cs"/>
                  </a:defRPr>
                </a:pPr>
                <a:r>
                  <a:t>单位：万元</a:t>
                </a:r>
              </a:p>
            </c:rich>
          </c:tx>
          <c:layout/>
          <c:overlay val="false"/>
          <c:spPr>
            <a:noFill/>
            <a:ln>
              <a:noFill/>
            </a:ln>
            <a:effectLst/>
          </c:spPr>
        </c:title>
        <c:numFmt formatCode="General" sourceLinked="true"/>
        <c:majorTickMark val="none"/>
        <c:minorTickMark val="none"/>
        <c:tickLblPos val="nextTo"/>
        <c:spPr>
          <a:noFill/>
          <a:ln w="9525" cap="flat" cmpd="sng" algn="ctr">
            <a:noFill/>
            <a:prstDash val="solid"/>
            <a:round/>
          </a:ln>
          <a:effectLst/>
        </c:spPr>
        <c:txPr>
          <a:bodyPr rot="-60000000" spcFirstLastPara="0" vertOverflow="ellipsis" vert="horz" wrap="square" anchor="ctr" anchorCtr="true"/>
          <a:lstStyle/>
          <a:p>
            <a:pPr>
              <a:defRPr lang="zh-CN" sz="800" b="0" i="0" u="none" strike="noStrike" kern="1200" baseline="0">
                <a:solidFill>
                  <a:schemeClr val="tx1">
                    <a:lumMod val="65000"/>
                    <a:lumOff val="35000"/>
                  </a:schemeClr>
                </a:solidFill>
                <a:latin typeface="+mn-lt"/>
                <a:ea typeface="+mn-ea"/>
                <a:cs typeface="+mn-cs"/>
              </a:defRPr>
            </a:pPr>
          </a:p>
        </c:txPr>
        <c:crossAx val="197569920"/>
        <c:crosses val="autoZero"/>
        <c:crossBetween val="between"/>
      </c:valAx>
      <c:spPr>
        <a:noFill/>
        <a:ln>
          <a:noFill/>
        </a:ln>
        <a:effectLst/>
      </c:spPr>
    </c:plotArea>
    <c:legend>
      <c:legendPos val="b"/>
      <c:legendEntry>
        <c:idx val="0"/>
        <c:txPr>
          <a:bodyPr rot="0" spcFirstLastPara="0" vertOverflow="ellipsis" vert="horz" wrap="square" anchor="ctr" anchorCtr="true"/>
          <a:lstStyle/>
          <a:p>
            <a:pPr>
              <a:defRPr lang="zh-CN" sz="800" b="0" i="0" u="none" strike="noStrike" kern="1200" baseline="0">
                <a:solidFill>
                  <a:schemeClr val="tx1">
                    <a:lumMod val="65000"/>
                    <a:lumOff val="35000"/>
                  </a:schemeClr>
                </a:solidFill>
                <a:latin typeface="+mn-lt"/>
                <a:ea typeface="+mn-ea"/>
                <a:cs typeface="+mn-cs"/>
              </a:defRPr>
            </a:pPr>
          </a:p>
        </c:txPr>
      </c:legendEntry>
      <c:layout>
        <c:manualLayout>
          <c:xMode val="edge"/>
          <c:yMode val="edge"/>
          <c:x val="0.364075609387776"/>
          <c:y val="0.730233363693812"/>
        </c:manualLayout>
      </c:layout>
      <c:overlay val="false"/>
      <c:spPr>
        <a:noFill/>
        <a:ln>
          <a:noFill/>
        </a:ln>
        <a:effectLst/>
      </c:spPr>
      <c:txPr>
        <a:bodyPr rot="0" spcFirstLastPara="0" vertOverflow="ellipsis" vert="horz" wrap="square" anchor="ctr" anchorCtr="true"/>
        <a:lstStyle/>
        <a:p>
          <a:pPr>
            <a:defRPr lang="zh-CN" sz="8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sz="800"/>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238121546961326"/>
          <c:y val="0.214511041009464"/>
          <c:w val="0.708890005022602"/>
          <c:h val="0.348264984227129"/>
        </c:manualLayout>
      </c:layout>
      <c:barChart>
        <c:barDir val="col"/>
        <c:grouping val="clustered"/>
        <c:varyColors val="false"/>
        <c:ser>
          <c:idx val="0"/>
          <c:order val="0"/>
          <c:tx>
            <c:strRef>
              <c:f>Sheet1!$B$1</c:f>
              <c:strCache>
                <c:ptCount val="1"/>
                <c:pt idx="0">
                  <c:v>一般公共预算财政拨款</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8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1492.36</c:v>
                </c:pt>
                <c:pt idx="1">
                  <c:v>1392.18</c:v>
                </c:pt>
              </c:numCache>
            </c:numRef>
          </c:val>
        </c:ser>
        <c:dLbls>
          <c:showLegendKey val="false"/>
          <c:showVal val="true"/>
          <c:showCatName val="false"/>
          <c:showSerName val="false"/>
          <c:showPercent val="false"/>
          <c:showBubbleSize val="false"/>
        </c:dLbls>
        <c:gapWidth val="246"/>
        <c:overlap val="-28"/>
        <c:axId val="197646208"/>
        <c:axId val="197652480"/>
      </c:barChart>
      <c:catAx>
        <c:axId val="197646208"/>
        <c:scaling>
          <c:orientation val="minMax"/>
        </c:scaling>
        <c:delete val="false"/>
        <c:axPos val="b"/>
        <c:title>
          <c:tx>
            <c:rich>
              <a:bodyPr rot="0" spcFirstLastPara="0" vertOverflow="ellipsis" vert="horz" wrap="square" anchor="ctr" anchorCtr="true"/>
              <a:lstStyle/>
              <a:p>
                <a:pPr defTabSz="914400">
                  <a:defRPr lang="zh-CN" sz="800" b="0" i="0" u="none" strike="noStrike" kern="1200" baseline="0">
                    <a:solidFill>
                      <a:schemeClr val="tx1">
                        <a:lumMod val="65000"/>
                        <a:lumOff val="35000"/>
                      </a:schemeClr>
                    </a:solidFill>
                    <a:latin typeface="+mn-lt"/>
                    <a:ea typeface="+mn-ea"/>
                    <a:cs typeface="+mn-cs"/>
                  </a:defRPr>
                </a:pPr>
                <a:r>
                  <a:t>图</a:t>
                </a:r>
                <a:r>
                  <a:rPr lang="en-US" altLang="zh-CN"/>
                  <a:t>5</a:t>
                </a:r>
                <a:r>
                  <a:rPr altLang="en-US"/>
                  <a:t>：一般公共预算财政拨款支出决算变动情况</a:t>
                </a:r>
                <a:endParaRPr altLang="en-US"/>
              </a:p>
            </c:rich>
          </c:tx>
          <c:layout>
            <c:manualLayout>
              <c:xMode val="edge"/>
              <c:yMode val="edge"/>
              <c:x val="0.146531786629926"/>
              <c:y val="0.852158531951142"/>
            </c:manualLayout>
          </c:layout>
          <c:overlay val="false"/>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800" b="0" i="0" u="none" strike="noStrike" kern="1200" baseline="0">
                <a:solidFill>
                  <a:schemeClr val="tx1">
                    <a:lumMod val="65000"/>
                    <a:lumOff val="35000"/>
                  </a:schemeClr>
                </a:solidFill>
                <a:latin typeface="+mn-lt"/>
                <a:ea typeface="+mn-ea"/>
                <a:cs typeface="+mn-cs"/>
              </a:defRPr>
            </a:pPr>
          </a:p>
        </c:txPr>
        <c:crossAx val="197652480"/>
        <c:crosses val="autoZero"/>
        <c:auto val="true"/>
        <c:lblAlgn val="ctr"/>
        <c:lblOffset val="100"/>
        <c:noMultiLvlLbl val="false"/>
      </c:catAx>
      <c:valAx>
        <c:axId val="197652480"/>
        <c:scaling>
          <c:orientation val="minMax"/>
        </c:scaling>
        <c:delete val="false"/>
        <c:axPos val="l"/>
        <c:majorGridlines>
          <c:spPr>
            <a:ln w="9525" cap="flat" cmpd="sng" algn="ctr">
              <a:solidFill>
                <a:schemeClr val="bg1">
                  <a:lumMod val="90200"/>
                </a:schemeClr>
              </a:solidFill>
              <a:prstDash val="solid"/>
              <a:round/>
            </a:ln>
            <a:effectLst/>
          </c:spPr>
        </c:majorGridlines>
        <c:title>
          <c:tx>
            <c:rich>
              <a:bodyPr rot="-5400000" spcFirstLastPara="0" vertOverflow="ellipsis" vert="horz" wrap="square" anchor="ctr" anchorCtr="true"/>
              <a:lstStyle/>
              <a:p>
                <a:pPr defTabSz="914400">
                  <a:defRPr lang="zh-CN" sz="800" b="0" i="0" u="none" strike="noStrike" kern="1200" baseline="0">
                    <a:solidFill>
                      <a:schemeClr val="tx1">
                        <a:lumMod val="65000"/>
                        <a:lumOff val="35000"/>
                      </a:schemeClr>
                    </a:solidFill>
                    <a:latin typeface="+mn-lt"/>
                    <a:ea typeface="+mn-ea"/>
                    <a:cs typeface="+mn-cs"/>
                  </a:defRPr>
                </a:pPr>
                <a:r>
                  <a:t>单位：万元</a:t>
                </a:r>
              </a:p>
            </c:rich>
          </c:tx>
          <c:layout/>
          <c:overlay val="false"/>
          <c:spPr>
            <a:noFill/>
            <a:ln>
              <a:noFill/>
            </a:ln>
            <a:effectLst/>
          </c:spPr>
        </c:title>
        <c:numFmt formatCode="General" sourceLinked="true"/>
        <c:majorTickMark val="none"/>
        <c:minorTickMark val="none"/>
        <c:tickLblPos val="nextTo"/>
        <c:spPr>
          <a:noFill/>
          <a:ln w="9525" cap="flat" cmpd="sng" algn="ctr">
            <a:noFill/>
            <a:prstDash val="solid"/>
            <a:round/>
          </a:ln>
          <a:effectLst/>
        </c:spPr>
        <c:txPr>
          <a:bodyPr rot="-60000000" spcFirstLastPara="0" vertOverflow="ellipsis" vert="horz" wrap="square" anchor="ctr" anchorCtr="true"/>
          <a:lstStyle/>
          <a:p>
            <a:pPr>
              <a:defRPr lang="zh-CN" sz="800" b="0" i="0" u="none" strike="noStrike" kern="1200" baseline="0">
                <a:solidFill>
                  <a:schemeClr val="tx1">
                    <a:lumMod val="65000"/>
                    <a:lumOff val="35000"/>
                  </a:schemeClr>
                </a:solidFill>
                <a:latin typeface="+mn-lt"/>
                <a:ea typeface="+mn-ea"/>
                <a:cs typeface="+mn-cs"/>
              </a:defRPr>
            </a:pPr>
          </a:p>
        </c:txPr>
        <c:crossAx val="197646208"/>
        <c:crosses val="autoZero"/>
        <c:crossBetween val="between"/>
      </c:valAx>
      <c:spPr>
        <a:noFill/>
        <a:ln>
          <a:noFill/>
        </a:ln>
        <a:effectLst/>
      </c:spPr>
    </c:plotArea>
    <c:legend>
      <c:legendPos val="b"/>
      <c:legendEntry>
        <c:idx val="0"/>
        <c:txPr>
          <a:bodyPr rot="0" spcFirstLastPara="0" vertOverflow="ellipsis" vert="horz" wrap="square" anchor="ctr" anchorCtr="true"/>
          <a:lstStyle/>
          <a:p>
            <a:pPr>
              <a:defRPr lang="zh-CN" sz="800" b="0" i="0" u="none" strike="noStrike" kern="1200" baseline="0">
                <a:solidFill>
                  <a:schemeClr val="tx1">
                    <a:lumMod val="65000"/>
                    <a:lumOff val="35000"/>
                  </a:schemeClr>
                </a:solidFill>
                <a:latin typeface="+mn-lt"/>
                <a:ea typeface="+mn-ea"/>
                <a:cs typeface="+mn-cs"/>
              </a:defRPr>
            </a:pPr>
          </a:p>
        </c:txPr>
      </c:legendEntry>
      <c:layout>
        <c:manualLayout>
          <c:xMode val="edge"/>
          <c:yMode val="edge"/>
          <c:x val="0.364075609387776"/>
          <c:y val="0.730233363693812"/>
        </c:manualLayout>
      </c:layout>
      <c:overlay val="false"/>
      <c:spPr>
        <a:noFill/>
        <a:ln>
          <a:noFill/>
        </a:ln>
        <a:effectLst/>
      </c:spPr>
      <c:txPr>
        <a:bodyPr rot="0" spcFirstLastPara="0" vertOverflow="ellipsis" vert="horz" wrap="square" anchor="ctr" anchorCtr="true"/>
        <a:lstStyle/>
        <a:p>
          <a:pPr>
            <a:defRPr lang="zh-CN" sz="8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sz="800"/>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12129144851658"/>
          <c:y val="0.0342025059261768"/>
        </c:manualLayout>
      </c:layout>
      <c:overlay val="false"/>
      <c:spPr>
        <a:noFill/>
        <a:ln>
          <a:noFill/>
        </a:ln>
        <a:effectLst/>
      </c:spPr>
      <c:txPr>
        <a:bodyPr rot="0" spcFirstLastPara="0" vertOverflow="ellipsis" vert="horz" wrap="square" anchor="ctr" anchorCtr="true"/>
        <a:lstStyle/>
        <a:p>
          <a:pPr>
            <a:defRPr lang="zh-CN" sz="1400" b="1" i="0" u="none" strike="noStrike" kern="1200" baseline="0">
              <a:solidFill>
                <a:schemeClr val="dk1">
                  <a:lumMod val="75000"/>
                  <a:lumOff val="25000"/>
                </a:schemeClr>
              </a:solidFill>
              <a:latin typeface="+mn-lt"/>
              <a:ea typeface="+mn-ea"/>
              <a:cs typeface="+mn-cs"/>
            </a:defRPr>
          </a:pPr>
        </a:p>
      </c:txPr>
    </c:title>
    <c:autoTitleDeleted val="false"/>
    <c:plotArea>
      <c:layout/>
      <c:pieChart>
        <c:varyColors val="true"/>
        <c:ser>
          <c:idx val="0"/>
          <c:order val="0"/>
          <c:tx>
            <c:strRef>
              <c:f>Sheet1!$B$1</c:f>
              <c:strCache>
                <c:ptCount val="1"/>
                <c:pt idx="0">
                  <c:v>2022年一般公共预算财政拨款支出</c:v>
                </c:pt>
              </c:strCache>
            </c:strRef>
          </c:tx>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Pt>
            <c:idx val="2"/>
            <c:bubble3D val="false"/>
            <c:spPr>
              <a:solidFill>
                <a:schemeClr val="accent3"/>
              </a:solidFill>
              <a:ln>
                <a:solidFill>
                  <a:schemeClr val="bg1"/>
                </a:solidFill>
              </a:ln>
              <a:effectLst/>
            </c:spPr>
          </c:dPt>
          <c:dLbls>
            <c:dLbl>
              <c:idx val="0"/>
              <c:layout/>
              <c:tx>
                <c:rich>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r>
                      <a:rPr lang="en-US" altLang="zh-CN"/>
                      <a:t>1285.46</a:t>
                    </a:r>
                    <a:r>
                      <a:rPr altLang="en-US"/>
                      <a:t>万元</a:t>
                    </a:r>
                    <a:r>
                      <a:t>92%</a:t>
                    </a:r>
                  </a:p>
                </c:rich>
              </c:tx>
              <c:dLblPos val="inEnd"/>
              <c:showLegendKey val="false"/>
              <c:showVal val="false"/>
              <c:showCatName val="false"/>
              <c:showSerName val="false"/>
              <c:showPercent val="true"/>
              <c:showBubbleSize val="false"/>
              <c:extLst>
                <c:ext xmlns:c15="http://schemas.microsoft.com/office/drawing/2012/chart" uri="{CE6537A1-D6FC-4f65-9D91-7224C49458BB}">
                  <c15:layout>
                    <c:manualLayout>
                      <c:w val="0.281946775353632"/>
                      <c:h val="0.26224010731053"/>
                    </c:manualLayout>
                  </c15:layout>
                </c:ext>
              </c:extLst>
            </c:dLbl>
            <c:dLbl>
              <c:idx val="1"/>
              <c:layout>
                <c:manualLayout>
                  <c:x val="-0.105348602351987"/>
                  <c:y val="0.120039658540257"/>
                </c:manualLayout>
              </c:layout>
              <c:tx>
                <c:rich>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r>
                      <a:rPr lang="en-US" altLang="zh-CN"/>
                      <a:t>26.19</a:t>
                    </a:r>
                    <a:r>
                      <a:rPr altLang="en-US"/>
                      <a:t>万元</a:t>
                    </a:r>
                    <a:r>
                      <a:t>2%</a:t>
                    </a:r>
                  </a:p>
                </c:rich>
              </c:tx>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dLbl>
              <c:idx val="2"/>
              <c:layout>
                <c:manualLayout>
                  <c:x val="0.041701473629851"/>
                  <c:y val="-0.0305274777584439"/>
                </c:manualLayout>
              </c:layout>
              <c:tx>
                <c:rich>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r>
                      <a:rPr lang="en-US" altLang="zh-CN"/>
                      <a:t>80.53</a:t>
                    </a:r>
                    <a:r>
                      <a:rPr altLang="en-US"/>
                      <a:t>万元</a:t>
                    </a:r>
                    <a:r>
                      <a:t>6%</a:t>
                    </a:r>
                  </a:p>
                </c:rich>
              </c:tx>
              <c:dLblPos val="bestFit"/>
              <c:showLegendKey val="false"/>
              <c:showVal val="false"/>
              <c:showCatName val="false"/>
              <c:showSerName val="false"/>
              <c:showPercent val="true"/>
              <c:showBubbleSize val="false"/>
              <c:extLst>
                <c:ext xmlns:c15="http://schemas.microsoft.com/office/drawing/2012/chart" uri="{CE6537A1-D6FC-4f65-9D91-7224C49458BB}">
                  <c15:layout>
                    <c:manualLayout>
                      <c:w val="0.399477806788512"/>
                      <c:h val="0.0729131175468484"/>
                    </c:manualLayout>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社会保障和就业支出</c:v>
                </c:pt>
                <c:pt idx="1">
                  <c:v>卫生健康支出</c:v>
                </c:pt>
                <c:pt idx="2">
                  <c:v>住房保障支出</c:v>
                </c:pt>
              </c:strCache>
            </c:strRef>
          </c:cat>
          <c:val>
            <c:numRef>
              <c:f>Sheet1!$B$2:$B$4</c:f>
              <c:numCache>
                <c:formatCode>General</c:formatCode>
                <c:ptCount val="3"/>
                <c:pt idx="0">
                  <c:v>1285.46</c:v>
                </c:pt>
                <c:pt idx="1">
                  <c:v>26.19</c:v>
                </c:pt>
                <c:pt idx="2">
                  <c:v>80.53</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r"/>
      <c:layout>
        <c:manualLayout>
          <c:xMode val="edge"/>
          <c:yMode val="edge"/>
          <c:x val="0.638525305410122"/>
          <c:y val="0.364544530985439"/>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1" i="0" u="none" strike="noStrike" kern="1200" baseline="0">
              <a:solidFill>
                <a:schemeClr val="dk1">
                  <a:lumMod val="75000"/>
                  <a:lumOff val="25000"/>
                </a:schemeClr>
              </a:solidFill>
              <a:latin typeface="+mn-lt"/>
              <a:ea typeface="+mn-ea"/>
              <a:cs typeface="+mn-cs"/>
            </a:defRPr>
          </a:pPr>
        </a:p>
      </c:txPr>
    </c:title>
    <c:autoTitleDeleted val="false"/>
    <c:plotArea>
      <c:layout/>
      <c:pieChart>
        <c:varyColors val="true"/>
        <c:ser>
          <c:idx val="0"/>
          <c:order val="0"/>
          <c:tx>
            <c:strRef>
              <c:f>Sheet1!$B$1</c:f>
              <c:strCache>
                <c:ptCount val="1"/>
                <c:pt idx="0">
                  <c:v>三公经费财政拨款支出</c:v>
                </c:pt>
              </c:strCache>
            </c:strRef>
          </c:tx>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Pt>
            <c:idx val="2"/>
            <c:bubble3D val="false"/>
            <c:spPr>
              <a:solidFill>
                <a:schemeClr val="accent3"/>
              </a:solidFill>
              <a:ln>
                <a:solidFill>
                  <a:schemeClr val="bg1"/>
                </a:solidFill>
              </a:ln>
              <a:effectLst/>
            </c:spPr>
          </c:dPt>
          <c:dLbls>
            <c:dLbl>
              <c:idx val="1"/>
              <c:layout/>
              <c:tx>
                <c:rich>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r>
                      <a:rPr lang="en-US" altLang="zh-CN"/>
                      <a:t>3.26</a:t>
                    </a:r>
                    <a:r>
                      <a:rPr altLang="en-US"/>
                      <a:t>万元</a:t>
                    </a:r>
                    <a:r>
                      <a:t>86%</a:t>
                    </a:r>
                  </a:p>
                </c:rich>
              </c:tx>
              <c:dLblPos val="inEnd"/>
              <c:showLegendKey val="false"/>
              <c:showVal val="false"/>
              <c:showCatName val="false"/>
              <c:showSerName val="false"/>
              <c:showPercent val="true"/>
              <c:showBubbleSize val="false"/>
              <c:extLst>
                <c:ext xmlns:c15="http://schemas.microsoft.com/office/drawing/2012/chart" uri="{CE6537A1-D6FC-4f65-9D91-7224C49458BB}">
                  <c15:layout>
                    <c:manualLayout>
                      <c:w val="0.236250597800096"/>
                      <c:h val="0.20647619047619"/>
                    </c:manualLayout>
                  </c15:layout>
                </c:ext>
              </c:extLst>
            </c:dLbl>
            <c:dLbl>
              <c:idx val="2"/>
              <c:layout>
                <c:manualLayout>
                  <c:x val="-0.0924884106580788"/>
                  <c:y val="-0.014963705636586"/>
                </c:manualLayout>
              </c:layout>
              <c:tx>
                <c:rich>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r>
                      <a:rPr lang="en-US" altLang="zh-CN"/>
                      <a:t>0.55</a:t>
                    </a:r>
                    <a:r>
                      <a:rPr altLang="en-US"/>
                      <a:t>万元</a:t>
                    </a:r>
                    <a:r>
                      <a:t>14%</a:t>
                    </a:r>
                  </a:p>
                </c:rich>
              </c:tx>
              <c:dLblPos val="bestFit"/>
              <c:showLegendKey val="false"/>
              <c:showVal val="false"/>
              <c:showCatName val="false"/>
              <c:showSerName val="false"/>
              <c:showPercent val="true"/>
              <c:showBubbleSize val="false"/>
              <c:extLst>
                <c:ext xmlns:c15="http://schemas.microsoft.com/office/drawing/2012/chart" uri="{CE6537A1-D6FC-4f65-9D91-7224C49458BB}">
                  <c15:layout>
                    <c:manualLayout>
                      <c:w val="0.199186991869919"/>
                      <c:h val="0.20647619047619"/>
                    </c:manualLayout>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因公出国（境）费用支出</c:v>
                </c:pt>
                <c:pt idx="1">
                  <c:v>公务用车购置及运行维护费支出</c:v>
                </c:pt>
                <c:pt idx="2">
                  <c:v>公务接待费用及运行维护费支出</c:v>
                </c:pt>
              </c:strCache>
            </c:strRef>
          </c:cat>
          <c:val>
            <c:numRef>
              <c:f>Sheet1!$B$2:$B$4</c:f>
              <c:numCache>
                <c:formatCode>General</c:formatCode>
                <c:ptCount val="3"/>
                <c:pt idx="0">
                  <c:v>0</c:v>
                </c:pt>
                <c:pt idx="1">
                  <c:v>3.26</c:v>
                </c:pt>
                <c:pt idx="2">
                  <c:v>0.55</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r"/>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18</Pages>
  <Words>1129</Words>
  <Characters>6438</Characters>
  <Lines>53</Lines>
  <Paragraphs>15</Paragraphs>
  <TotalTime>7</TotalTime>
  <ScaleCrop>false</ScaleCrop>
  <LinksUpToDate>false</LinksUpToDate>
  <CharactersWithSpaces>7552</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uos</cp:lastModifiedBy>
  <cp:lastPrinted>2023-07-31T10:35:00Z</cp:lastPrinted>
  <dcterms:modified xsi:type="dcterms:W3CDTF">2023-10-19T16:10:03Z</dcterms:modified>
  <dc:title>四川省***</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6B70361D626A4593B4A9C4A901EC4F63</vt:lpwstr>
  </property>
</Properties>
</file>