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96597"/>
      <w:bookmarkStart w:id="3" w:name="_Toc15377193"/>
      <w:bookmarkStart w:id="4" w:name="_Toc15378441"/>
      <w:bookmarkStart w:id="5" w:name="_Toc8125"/>
      <w:bookmarkStart w:id="6"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7" w:name="_Toc6646"/>
      <w:bookmarkStart w:id="8" w:name="_Toc15396476"/>
      <w:bookmarkStart w:id="9" w:name="_Toc15377426"/>
      <w:bookmarkStart w:id="10" w:name="_Toc15378442"/>
      <w:bookmarkStart w:id="11" w:name="_Toc15396598"/>
      <w:bookmarkStart w:id="12" w:name="_Toc15377194"/>
      <w:r>
        <w:rPr>
          <w:rFonts w:hint="eastAsia" w:ascii="方正小标宋简体" w:hAnsi="方正小标宋简体" w:eastAsia="方正小标宋简体" w:cs="方正小标宋简体"/>
          <w:color w:val="auto"/>
          <w:sz w:val="72"/>
          <w:szCs w:val="72"/>
          <w:highlight w:val="none"/>
          <w:lang w:eastAsia="zh-CN"/>
        </w:rPr>
        <w:t>广元市</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儿童福利院</w:t>
      </w:r>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4" w:name="_Toc28191"/>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2"/>
        <w:rPr>
          <w:rFonts w:ascii="方正小标宋简体" w:hAnsi="宋体" w:eastAsia="方正小标宋简体"/>
          <w:color w:val="auto"/>
          <w:sz w:val="52"/>
          <w:szCs w:val="52"/>
          <w:highlight w:val="none"/>
        </w:rPr>
      </w:pPr>
    </w:p>
    <w:p>
      <w:pPr>
        <w:pStyle w:val="10"/>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18</w:t>
      </w:r>
      <w:r>
        <w:rPr>
          <w:rFonts w:hint="eastAsia"/>
          <w:color w:val="auto"/>
          <w:highlight w:val="none"/>
        </w:rPr>
        <w:t>日</w:t>
      </w:r>
    </w:p>
    <w:p>
      <w:pPr>
        <w:rPr>
          <w:rFonts w:hint="eastAsia"/>
          <w:color w:val="auto"/>
          <w:highlight w:val="none"/>
        </w:rPr>
      </w:pPr>
      <w:r>
        <w:rPr>
          <w:rFonts w:hint="eastAsia"/>
          <w:color w:val="auto"/>
          <w:highlight w:val="none"/>
        </w:rPr>
        <w:br w:type="page"/>
      </w:r>
    </w:p>
    <w:sdt>
      <w:sdtPr>
        <w:rPr>
          <w:rFonts w:ascii="宋体" w:hAnsi="宋体" w:eastAsia="宋体" w:cs="Times New Roman"/>
          <w:kern w:val="2"/>
          <w:sz w:val="44"/>
          <w:szCs w:val="44"/>
          <w:lang w:val="en-US" w:eastAsia="zh-CN" w:bidi="ar-SA"/>
        </w:rPr>
        <w:id w:val="147472191"/>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目录</w:t>
          </w:r>
        </w:p>
        <w:p>
          <w:pPr>
            <w:pStyle w:val="30"/>
            <w:tabs>
              <w:tab w:val="right" w:leader="dot" w:pos="8306"/>
            </w:tabs>
            <w:rPr>
              <w:b/>
            </w:rPr>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p>
        <w:p>
          <w:pPr>
            <w:pStyle w:val="30"/>
            <w:tabs>
              <w:tab w:val="right" w:leader="dot" w:pos="8306"/>
            </w:tabs>
            <w:rPr>
              <w:b/>
            </w:rPr>
          </w:pPr>
          <w:r>
            <w:rPr>
              <w:rFonts w:hint="eastAsia"/>
              <w:b/>
              <w:lang w:val="en-US" w:eastAsia="zh-CN"/>
            </w:rPr>
            <w:fldChar w:fldCharType="begin"/>
          </w:r>
          <w:r>
            <w:rPr>
              <w:rFonts w:hint="eastAsia"/>
              <w:b/>
              <w:lang w:val="en-US" w:eastAsia="zh-CN"/>
            </w:rPr>
            <w:instrText xml:space="preserve"> HYPERLINK \l _Toc29016 </w:instrText>
          </w:r>
          <w:r>
            <w:rPr>
              <w:rFonts w:hint="eastAsia"/>
              <w:b/>
              <w:lang w:val="en-US" w:eastAsia="zh-CN"/>
            </w:rPr>
            <w:fldChar w:fldCharType="separate"/>
          </w:r>
          <w:r>
            <w:rPr>
              <w:rFonts w:hint="eastAsia" w:ascii="黑体" w:hAnsi="黑体" w:eastAsia="黑体"/>
              <w:b/>
              <w:highlight w:val="none"/>
            </w:rPr>
            <w:t>第一部分</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_Toc29016 \h </w:instrText>
          </w:r>
          <w:r>
            <w:rPr>
              <w:b/>
            </w:rPr>
            <w:fldChar w:fldCharType="separate"/>
          </w:r>
          <w:r>
            <w:rPr>
              <w:b/>
            </w:rPr>
            <w:t>1</w:t>
          </w:r>
          <w:r>
            <w:rPr>
              <w:b/>
            </w:rPr>
            <w:fldChar w:fldCharType="end"/>
          </w:r>
          <w:r>
            <w:rPr>
              <w:rFonts w:hint="eastAsia"/>
              <w:b/>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_Toc20484 </w:instrText>
          </w:r>
          <w:r>
            <w:rPr>
              <w:rFonts w:hint="eastAsia"/>
              <w:lang w:val="en-US" w:eastAsia="zh-CN"/>
            </w:rPr>
            <w:fldChar w:fldCharType="separate"/>
          </w:r>
          <w:r>
            <w:rPr>
              <w:rFonts w:hint="eastAsia" w:ascii="黑体" w:hAnsi="黑体" w:eastAsia="黑体"/>
              <w:bCs w:val="0"/>
              <w:lang w:eastAsia="zh-CN"/>
            </w:rPr>
            <w:t>一、</w:t>
          </w:r>
          <w:r>
            <w:rPr>
              <w:rFonts w:hint="eastAsia" w:ascii="黑体" w:hAnsi="黑体" w:eastAsia="黑体"/>
              <w:bCs w:val="0"/>
              <w:highlight w:val="none"/>
              <w:lang w:eastAsia="zh-CN"/>
            </w:rPr>
            <w:t>主要职责</w:t>
          </w:r>
          <w:r>
            <w:tab/>
          </w:r>
          <w:r>
            <w:fldChar w:fldCharType="begin"/>
          </w:r>
          <w:r>
            <w:instrText xml:space="preserve"> PAGEREF _Toc20484 \h </w:instrText>
          </w:r>
          <w:r>
            <w:fldChar w:fldCharType="separate"/>
          </w:r>
          <w:r>
            <w:t>1</w:t>
          </w:r>
          <w:r>
            <w:fldChar w:fldCharType="end"/>
          </w:r>
          <w:r>
            <w:rPr>
              <w:rFonts w:hint="eastAsia"/>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_Toc1196 </w:instrText>
          </w:r>
          <w:r>
            <w:rPr>
              <w:rFonts w:hint="eastAsia"/>
              <w:lang w:val="en-US" w:eastAsia="zh-CN"/>
            </w:rPr>
            <w:fldChar w:fldCharType="separate"/>
          </w:r>
          <w:r>
            <w:rPr>
              <w:rFonts w:hint="eastAsia" w:ascii="黑体" w:hAnsi="黑体" w:eastAsia="黑体"/>
              <w:highlight w:val="none"/>
              <w:lang w:val="en-US" w:eastAsia="zh-CN"/>
            </w:rPr>
            <w:t>二、机构设置</w:t>
          </w:r>
          <w:r>
            <w:tab/>
          </w:r>
          <w:r>
            <w:fldChar w:fldCharType="begin"/>
          </w:r>
          <w:r>
            <w:instrText xml:space="preserve"> PAGEREF _Toc1196 \h </w:instrText>
          </w:r>
          <w:r>
            <w:fldChar w:fldCharType="separate"/>
          </w:r>
          <w:r>
            <w:t>1</w:t>
          </w:r>
          <w:r>
            <w:fldChar w:fldCharType="end"/>
          </w:r>
          <w:r>
            <w:rPr>
              <w:rFonts w:hint="eastAsia"/>
              <w:lang w:val="en-US" w:eastAsia="zh-CN"/>
            </w:rPr>
            <w:fldChar w:fldCharType="end"/>
          </w:r>
        </w:p>
        <w:p>
          <w:pPr>
            <w:pStyle w:val="30"/>
            <w:tabs>
              <w:tab w:val="right" w:leader="dot" w:pos="8306"/>
            </w:tabs>
            <w:rPr>
              <w:b/>
            </w:rPr>
          </w:pPr>
          <w:r>
            <w:rPr>
              <w:rFonts w:hint="eastAsia"/>
              <w:b/>
              <w:lang w:val="en-US" w:eastAsia="zh-CN"/>
            </w:rPr>
            <w:fldChar w:fldCharType="begin"/>
          </w:r>
          <w:r>
            <w:rPr>
              <w:rFonts w:hint="eastAsia"/>
              <w:b/>
              <w:lang w:val="en-US" w:eastAsia="zh-CN"/>
            </w:rPr>
            <w:instrText xml:space="preserve"> HYPERLINK \l _Toc6047 </w:instrText>
          </w:r>
          <w:r>
            <w:rPr>
              <w:rFonts w:hint="eastAsia"/>
              <w:b/>
              <w:lang w:val="en-US" w:eastAsia="zh-CN"/>
            </w:rPr>
            <w:fldChar w:fldCharType="separate"/>
          </w:r>
          <w:r>
            <w:rPr>
              <w:rFonts w:hint="eastAsia" w:ascii="黑体" w:hAnsi="黑体" w:eastAsia="黑体"/>
              <w:b/>
              <w:bCs/>
              <w:highlight w:val="none"/>
            </w:rPr>
            <w:t>第二部分</w:t>
          </w:r>
          <w:r>
            <w:rPr>
              <w:rFonts w:hint="eastAsia" w:ascii="黑体" w:hAnsi="黑体" w:eastAsia="黑体"/>
              <w:b/>
              <w:bCs/>
              <w:highlight w:val="none"/>
              <w:lang w:val="en-US" w:eastAsia="zh-CN"/>
            </w:rPr>
            <w:t>2022年度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_Toc6047 \h </w:instrText>
          </w:r>
          <w:r>
            <w:rPr>
              <w:b/>
            </w:rPr>
            <w:fldChar w:fldCharType="separate"/>
          </w:r>
          <w:r>
            <w:rPr>
              <w:b/>
            </w:rPr>
            <w:t>2</w:t>
          </w:r>
          <w:r>
            <w:rPr>
              <w:b/>
            </w:rPr>
            <w:fldChar w:fldCharType="end"/>
          </w:r>
          <w:r>
            <w:rPr>
              <w:rFonts w:hint="eastAsia"/>
              <w:b/>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_Toc9010 </w:instrText>
          </w:r>
          <w:r>
            <w:rPr>
              <w:rFonts w:hint="eastAsia"/>
              <w:lang w:val="en-US" w:eastAsia="zh-CN"/>
            </w:rPr>
            <w:fldChar w:fldCharType="separate"/>
          </w:r>
          <w:r>
            <w:rPr>
              <w:rFonts w:hint="default" w:ascii="黑体" w:hAnsi="黑体" w:eastAsia="黑体"/>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_Toc9010 \h </w:instrText>
          </w:r>
          <w:r>
            <w:fldChar w:fldCharType="separate"/>
          </w:r>
          <w:r>
            <w:t>2</w:t>
          </w:r>
          <w:r>
            <w:fldChar w:fldCharType="end"/>
          </w:r>
          <w:r>
            <w:rPr>
              <w:rFonts w:hint="eastAsia"/>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_Toc28070 </w:instrText>
          </w:r>
          <w:r>
            <w:rPr>
              <w:rFonts w:hint="eastAsia"/>
              <w:lang w:val="en-US" w:eastAsia="zh-CN"/>
            </w:rPr>
            <w:fldChar w:fldCharType="separate"/>
          </w:r>
          <w:r>
            <w:rPr>
              <w:rFonts w:hint="default" w:ascii="黑体" w:hAnsi="黑体" w:eastAsia="黑体"/>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_Toc28070 \h </w:instrText>
          </w:r>
          <w:r>
            <w:fldChar w:fldCharType="separate"/>
          </w:r>
          <w:r>
            <w:t>2</w:t>
          </w:r>
          <w:r>
            <w:fldChar w:fldCharType="end"/>
          </w:r>
          <w:r>
            <w:rPr>
              <w:rFonts w:hint="eastAsia"/>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_Toc19579 </w:instrText>
          </w:r>
          <w:r>
            <w:rPr>
              <w:rFonts w:hint="eastAsia"/>
              <w:lang w:val="en-US" w:eastAsia="zh-CN"/>
            </w:rPr>
            <w:fldChar w:fldCharType="separate"/>
          </w:r>
          <w:r>
            <w:rPr>
              <w:rFonts w:hint="default" w:ascii="黑体" w:hAnsi="黑体" w:eastAsia="黑体"/>
            </w:rPr>
            <w:t>三、</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_Toc19579 \h </w:instrText>
          </w:r>
          <w:r>
            <w:fldChar w:fldCharType="separate"/>
          </w:r>
          <w:r>
            <w:t>3</w:t>
          </w:r>
          <w:r>
            <w:fldChar w:fldCharType="end"/>
          </w:r>
          <w:r>
            <w:rPr>
              <w:rFonts w:hint="eastAsia"/>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_Toc3510 </w:instrText>
          </w:r>
          <w:r>
            <w:rPr>
              <w:rFonts w:hint="eastAsia"/>
              <w:lang w:val="en-US" w:eastAsia="zh-CN"/>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_Toc3510 \h </w:instrText>
          </w:r>
          <w:r>
            <w:fldChar w:fldCharType="separate"/>
          </w:r>
          <w:r>
            <w:t>4</w:t>
          </w:r>
          <w:r>
            <w:fldChar w:fldCharType="end"/>
          </w:r>
          <w:r>
            <w:rPr>
              <w:rFonts w:hint="eastAsia"/>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_Toc28328 </w:instrText>
          </w:r>
          <w:r>
            <w:rPr>
              <w:rFonts w:hint="eastAsia"/>
              <w:lang w:val="en-US" w:eastAsia="zh-CN"/>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_Toc28328 \h </w:instrText>
          </w:r>
          <w:r>
            <w:fldChar w:fldCharType="separate"/>
          </w:r>
          <w:r>
            <w:t>4</w:t>
          </w:r>
          <w:r>
            <w:fldChar w:fldCharType="end"/>
          </w:r>
          <w:r>
            <w:rPr>
              <w:rFonts w:hint="eastAsia"/>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_Toc15333 </w:instrText>
          </w:r>
          <w:r>
            <w:rPr>
              <w:rFonts w:hint="eastAsia"/>
              <w:lang w:val="en-US" w:eastAsia="zh-CN"/>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_Toc15333 \h </w:instrText>
          </w:r>
          <w:r>
            <w:fldChar w:fldCharType="separate"/>
          </w:r>
          <w:r>
            <w:t>7</w:t>
          </w:r>
          <w:r>
            <w:fldChar w:fldCharType="end"/>
          </w:r>
          <w:r>
            <w:rPr>
              <w:rFonts w:hint="eastAsia"/>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_Toc14856 </w:instrText>
          </w:r>
          <w:r>
            <w:rPr>
              <w:rFonts w:hint="eastAsia"/>
              <w:lang w:val="en-US" w:eastAsia="zh-CN"/>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_Toc14856 \h </w:instrText>
          </w:r>
          <w:r>
            <w:fldChar w:fldCharType="separate"/>
          </w:r>
          <w:r>
            <w:t>7</w:t>
          </w:r>
          <w:r>
            <w:fldChar w:fldCharType="end"/>
          </w:r>
          <w:r>
            <w:rPr>
              <w:rFonts w:hint="eastAsia"/>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_Toc25946 </w:instrText>
          </w:r>
          <w:r>
            <w:rPr>
              <w:rFonts w:hint="eastAsia"/>
              <w:lang w:val="en-US" w:eastAsia="zh-CN"/>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_Toc25946 \h </w:instrText>
          </w:r>
          <w:r>
            <w:fldChar w:fldCharType="separate"/>
          </w:r>
          <w:r>
            <w:t>9</w:t>
          </w:r>
          <w:r>
            <w:fldChar w:fldCharType="end"/>
          </w:r>
          <w:r>
            <w:rPr>
              <w:rFonts w:hint="eastAsia"/>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_Toc9760 </w:instrText>
          </w:r>
          <w:r>
            <w:rPr>
              <w:rFonts w:hint="eastAsia"/>
              <w:lang w:val="en-US" w:eastAsia="zh-CN"/>
            </w:rPr>
            <w:fldChar w:fldCharType="separate"/>
          </w:r>
          <w:r>
            <w:rPr>
              <w:rFonts w:hint="eastAsia" w:ascii="黑体" w:hAnsi="黑体" w:eastAsia="黑体"/>
            </w:rPr>
            <w:t>九、</w:t>
          </w:r>
          <w:r>
            <w:rPr>
              <w:rFonts w:hint="eastAsia" w:ascii="黑体" w:hAnsi="黑体" w:eastAsia="黑体"/>
              <w:highlight w:val="none"/>
            </w:rPr>
            <w:t>国有资本经营预算支出决算情况说明</w:t>
          </w:r>
          <w:r>
            <w:tab/>
          </w:r>
          <w:r>
            <w:fldChar w:fldCharType="begin"/>
          </w:r>
          <w:r>
            <w:instrText xml:space="preserve"> PAGEREF _Toc9760 \h </w:instrText>
          </w:r>
          <w:r>
            <w:fldChar w:fldCharType="separate"/>
          </w:r>
          <w:r>
            <w:t>9</w:t>
          </w:r>
          <w:r>
            <w:fldChar w:fldCharType="end"/>
          </w:r>
          <w:r>
            <w:rPr>
              <w:rFonts w:hint="eastAsia"/>
              <w:lang w:val="en-US" w:eastAsia="zh-CN"/>
            </w:rPr>
            <w:fldChar w:fldCharType="end"/>
          </w:r>
        </w:p>
        <w:p>
          <w:pPr>
            <w:pStyle w:val="31"/>
            <w:tabs>
              <w:tab w:val="right" w:leader="dot" w:pos="8306"/>
            </w:tabs>
          </w:pPr>
          <w:r>
            <w:rPr>
              <w:rFonts w:hint="eastAsia"/>
              <w:lang w:val="en-US" w:eastAsia="zh-CN"/>
            </w:rPr>
            <w:fldChar w:fldCharType="begin"/>
          </w:r>
          <w:r>
            <w:rPr>
              <w:rFonts w:hint="eastAsia"/>
              <w:lang w:val="en-US" w:eastAsia="zh-CN"/>
            </w:rPr>
            <w:instrText xml:space="preserve"> HYPERLINK \l _Toc16334 </w:instrText>
          </w:r>
          <w:r>
            <w:rPr>
              <w:rFonts w:hint="eastAsia"/>
              <w:lang w:val="en-US" w:eastAsia="zh-CN"/>
            </w:rPr>
            <w:fldChar w:fldCharType="separate"/>
          </w:r>
          <w:r>
            <w:rPr>
              <w:rFonts w:hint="eastAsia" w:ascii="黑体" w:hAnsi="黑体" w:eastAsia="黑体"/>
            </w:rPr>
            <w:t>十、</w:t>
          </w:r>
          <w:r>
            <w:rPr>
              <w:rFonts w:hint="eastAsia" w:ascii="黑体" w:hAnsi="黑体" w:eastAsia="黑体"/>
              <w:highlight w:val="none"/>
            </w:rPr>
            <w:t>其他重要事项的情况说明</w:t>
          </w:r>
          <w:r>
            <w:tab/>
          </w:r>
          <w:r>
            <w:fldChar w:fldCharType="begin"/>
          </w:r>
          <w:r>
            <w:instrText xml:space="preserve"> PAGEREF _Toc16334 \h </w:instrText>
          </w:r>
          <w:r>
            <w:fldChar w:fldCharType="separate"/>
          </w:r>
          <w:r>
            <w:t>9</w:t>
          </w:r>
          <w:r>
            <w:fldChar w:fldCharType="end"/>
          </w:r>
          <w:r>
            <w:rPr>
              <w:rFonts w:hint="eastAsia"/>
              <w:lang w:val="en-US" w:eastAsia="zh-CN"/>
            </w:rPr>
            <w:fldChar w:fldCharType="end"/>
          </w:r>
        </w:p>
        <w:p>
          <w:pPr>
            <w:pStyle w:val="30"/>
            <w:tabs>
              <w:tab w:val="right" w:leader="dot" w:pos="8306"/>
            </w:tabs>
            <w:rPr>
              <w:b/>
            </w:rPr>
          </w:pPr>
          <w:r>
            <w:rPr>
              <w:rFonts w:hint="eastAsia"/>
              <w:b/>
              <w:lang w:val="en-US" w:eastAsia="zh-CN"/>
            </w:rPr>
            <w:fldChar w:fldCharType="begin"/>
          </w:r>
          <w:r>
            <w:rPr>
              <w:rFonts w:hint="eastAsia"/>
              <w:b/>
              <w:lang w:val="en-US" w:eastAsia="zh-CN"/>
            </w:rPr>
            <w:instrText xml:space="preserve"> HYPERLINK \l _Toc12857 </w:instrText>
          </w:r>
          <w:r>
            <w:rPr>
              <w:rFonts w:hint="eastAsia"/>
              <w:b/>
              <w:lang w:val="en-US" w:eastAsia="zh-CN"/>
            </w:rPr>
            <w:fldChar w:fldCharType="separate"/>
          </w:r>
          <w:r>
            <w:rPr>
              <w:rFonts w:hint="eastAsia" w:ascii="黑体" w:hAnsi="黑体" w:eastAsia="黑体" w:cs="黑体"/>
              <w:b/>
              <w:szCs w:val="44"/>
            </w:rPr>
            <w:t>第三部分</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_Toc12857 \h </w:instrText>
          </w:r>
          <w:r>
            <w:rPr>
              <w:b/>
            </w:rPr>
            <w:fldChar w:fldCharType="separate"/>
          </w:r>
          <w:r>
            <w:rPr>
              <w:b/>
            </w:rPr>
            <w:t>11</w:t>
          </w:r>
          <w:r>
            <w:rPr>
              <w:b/>
            </w:rPr>
            <w:fldChar w:fldCharType="end"/>
          </w:r>
          <w:r>
            <w:rPr>
              <w:rFonts w:hint="eastAsia"/>
              <w:b/>
              <w:lang w:val="en-US" w:eastAsia="zh-CN"/>
            </w:rPr>
            <w:fldChar w:fldCharType="end"/>
          </w:r>
        </w:p>
        <w:p>
          <w:pPr>
            <w:pStyle w:val="30"/>
            <w:tabs>
              <w:tab w:val="right" w:leader="dot" w:pos="8306"/>
            </w:tabs>
            <w:rPr>
              <w:b/>
            </w:rPr>
          </w:pPr>
          <w:r>
            <w:rPr>
              <w:rFonts w:hint="eastAsia"/>
              <w:b/>
              <w:lang w:val="en-US" w:eastAsia="zh-CN"/>
            </w:rPr>
            <w:fldChar w:fldCharType="begin"/>
          </w:r>
          <w:r>
            <w:rPr>
              <w:rFonts w:hint="eastAsia"/>
              <w:b/>
              <w:lang w:val="en-US" w:eastAsia="zh-CN"/>
            </w:rPr>
            <w:instrText xml:space="preserve"> HYPERLINK \l _Toc25158 </w:instrText>
          </w:r>
          <w:r>
            <w:rPr>
              <w:rFonts w:hint="eastAsia"/>
              <w:b/>
              <w:lang w:val="en-US" w:eastAsia="zh-CN"/>
            </w:rPr>
            <w:fldChar w:fldCharType="separate"/>
          </w:r>
          <w:r>
            <w:rPr>
              <w:rFonts w:hint="eastAsia" w:ascii="黑体" w:hAnsi="黑体" w:eastAsia="黑体"/>
              <w:b/>
              <w:szCs w:val="44"/>
              <w:highlight w:val="none"/>
            </w:rPr>
            <w:t>第</w:t>
          </w:r>
          <w:r>
            <w:rPr>
              <w:rFonts w:hint="eastAsia" w:ascii="黑体" w:hAnsi="黑体" w:eastAsia="黑体"/>
              <w:b/>
              <w:highlight w:val="none"/>
            </w:rPr>
            <w:t>四部分附件</w:t>
          </w:r>
          <w:r>
            <w:rPr>
              <w:b/>
            </w:rPr>
            <w:tab/>
          </w:r>
          <w:r>
            <w:rPr>
              <w:b/>
            </w:rPr>
            <w:fldChar w:fldCharType="begin"/>
          </w:r>
          <w:r>
            <w:rPr>
              <w:b/>
            </w:rPr>
            <w:instrText xml:space="preserve"> PAGEREF _Toc25158 \h </w:instrText>
          </w:r>
          <w:r>
            <w:rPr>
              <w:b/>
            </w:rPr>
            <w:fldChar w:fldCharType="separate"/>
          </w:r>
          <w:r>
            <w:rPr>
              <w:b/>
            </w:rPr>
            <w:t>13</w:t>
          </w:r>
          <w:r>
            <w:rPr>
              <w:b/>
            </w:rPr>
            <w:fldChar w:fldCharType="end"/>
          </w:r>
          <w:r>
            <w:rPr>
              <w:rFonts w:hint="eastAsia"/>
              <w:b/>
              <w:lang w:val="en-US" w:eastAsia="zh-CN"/>
            </w:rPr>
            <w:fldChar w:fldCharType="end"/>
          </w:r>
        </w:p>
        <w:p>
          <w:pPr>
            <w:pStyle w:val="30"/>
            <w:tabs>
              <w:tab w:val="right" w:leader="dot" w:pos="8306"/>
            </w:tabs>
            <w:rPr>
              <w:b/>
            </w:rPr>
          </w:pPr>
          <w:r>
            <w:rPr>
              <w:rFonts w:hint="eastAsia"/>
              <w:b/>
              <w:lang w:val="en-US" w:eastAsia="zh-CN"/>
            </w:rPr>
            <w:fldChar w:fldCharType="begin"/>
          </w:r>
          <w:r>
            <w:rPr>
              <w:rFonts w:hint="eastAsia"/>
              <w:b/>
              <w:lang w:val="en-US" w:eastAsia="zh-CN"/>
            </w:rPr>
            <w:instrText xml:space="preserve"> HYPERLINK \l _Toc14520 </w:instrText>
          </w:r>
          <w:r>
            <w:rPr>
              <w:rFonts w:hint="eastAsia"/>
              <w:b/>
              <w:lang w:val="en-US" w:eastAsia="zh-CN"/>
            </w:rPr>
            <w:fldChar w:fldCharType="separate"/>
          </w:r>
          <w:r>
            <w:rPr>
              <w:rFonts w:hint="eastAsia" w:ascii="黑体" w:hAnsi="黑体" w:eastAsia="黑体"/>
              <w:b/>
              <w:szCs w:val="44"/>
              <w:highlight w:val="none"/>
            </w:rPr>
            <w:t>第</w:t>
          </w:r>
          <w:r>
            <w:rPr>
              <w:rFonts w:hint="eastAsia" w:ascii="黑体" w:hAnsi="黑体" w:eastAsia="黑体"/>
              <w:b/>
              <w:highlight w:val="none"/>
            </w:rPr>
            <w:t>五部分附表</w:t>
          </w:r>
          <w:r>
            <w:rPr>
              <w:b/>
            </w:rPr>
            <w:tab/>
          </w:r>
          <w:r>
            <w:rPr>
              <w:b/>
            </w:rPr>
            <w:fldChar w:fldCharType="begin"/>
          </w:r>
          <w:r>
            <w:rPr>
              <w:b/>
            </w:rPr>
            <w:instrText xml:space="preserve"> PAGEREF _Toc14520 \h </w:instrText>
          </w:r>
          <w:r>
            <w:rPr>
              <w:b/>
            </w:rPr>
            <w:fldChar w:fldCharType="separate"/>
          </w:r>
          <w:r>
            <w:rPr>
              <w:b/>
            </w:rPr>
            <w:t>14</w:t>
          </w:r>
          <w:r>
            <w:rPr>
              <w:b/>
            </w:rPr>
            <w:fldChar w:fldCharType="end"/>
          </w:r>
          <w:r>
            <w:rPr>
              <w:rFonts w:hint="eastAsia"/>
              <w:b/>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_Toc15855 </w:instrText>
          </w:r>
          <w:r>
            <w:rPr>
              <w:rFonts w:hint="eastAsia" w:ascii="黑体" w:hAnsi="黑体" w:eastAsia="黑体" w:cs="黑体"/>
              <w:lang w:val="en-US" w:eastAsia="zh-CN"/>
            </w:rPr>
            <w:fldChar w:fldCharType="separate"/>
          </w:r>
          <w:r>
            <w:rPr>
              <w:rFonts w:hint="eastAsia" w:ascii="黑体" w:hAnsi="黑体" w:eastAsia="黑体" w:cs="黑体"/>
              <w:highlight w:val="none"/>
            </w:rPr>
            <w:t>一、收</w:t>
          </w:r>
          <w:r>
            <w:rPr>
              <w:rFonts w:hint="eastAsia" w:ascii="黑体" w:hAnsi="黑体" w:eastAsia="黑体" w:cs="黑体"/>
              <w:bCs w:val="0"/>
              <w:highlight w:val="none"/>
            </w:rPr>
            <w:t>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_Toc15855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_Toc12550 </w:instrText>
          </w:r>
          <w:r>
            <w:rPr>
              <w:rFonts w:hint="eastAsia" w:ascii="黑体" w:hAnsi="黑体" w:eastAsia="黑体" w:cs="黑体"/>
              <w:lang w:val="en-US" w:eastAsia="zh-CN"/>
            </w:rPr>
            <w:fldChar w:fldCharType="separate"/>
          </w:r>
          <w:r>
            <w:rPr>
              <w:rFonts w:hint="eastAsia" w:ascii="黑体" w:hAnsi="黑体" w:eastAsia="黑体" w:cs="黑体"/>
              <w:highlight w:val="none"/>
            </w:rPr>
            <w:t>二、收</w:t>
          </w:r>
          <w:r>
            <w:rPr>
              <w:rFonts w:hint="eastAsia" w:ascii="黑体" w:hAnsi="黑体" w:eastAsia="黑体" w:cs="黑体"/>
              <w:bCs w:val="0"/>
              <w:highlight w:val="none"/>
            </w:rPr>
            <w:t>入决算表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_Toc12550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_Toc27001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三、</w:t>
          </w:r>
          <w:r>
            <w:rPr>
              <w:rFonts w:hint="eastAsia" w:ascii="黑体" w:hAnsi="黑体" w:eastAsia="黑体" w:cs="黑体"/>
              <w:highlight w:val="none"/>
            </w:rPr>
            <w:t>支</w:t>
          </w:r>
          <w:r>
            <w:rPr>
              <w:rFonts w:hint="eastAsia" w:ascii="黑体" w:hAnsi="黑体" w:eastAsia="黑体" w:cs="黑体"/>
              <w:bCs w:val="0"/>
              <w:highlight w:val="none"/>
            </w:rPr>
            <w:t>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_Toc27001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_Toc32043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四、</w:t>
          </w:r>
          <w:r>
            <w:rPr>
              <w:rFonts w:hint="eastAsia" w:ascii="黑体" w:hAnsi="黑体" w:eastAsia="黑体" w:cs="黑体"/>
              <w:highlight w:val="none"/>
            </w:rPr>
            <w:t>财</w:t>
          </w:r>
          <w:r>
            <w:rPr>
              <w:rFonts w:hint="eastAsia" w:ascii="黑体" w:hAnsi="黑体" w:eastAsia="黑体" w:cs="黑体"/>
              <w:bCs w:val="0"/>
              <w:highlight w:val="none"/>
            </w:rPr>
            <w:t>政拨款收入支出决算总表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_Toc32043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_Toc29794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五、</w:t>
          </w:r>
          <w:r>
            <w:rPr>
              <w:rFonts w:hint="eastAsia" w:ascii="黑体" w:hAnsi="黑体" w:eastAsia="黑体" w:cs="黑体"/>
              <w:highlight w:val="none"/>
            </w:rPr>
            <w:t>财</w:t>
          </w:r>
          <w:r>
            <w:rPr>
              <w:rFonts w:hint="eastAsia" w:ascii="黑体" w:hAnsi="黑体" w:eastAsia="黑体" w:cs="黑体"/>
              <w:bCs w:val="0"/>
              <w:highlight w:val="none"/>
            </w:rPr>
            <w:t>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_Toc29794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_Toc31621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六、</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_Toc31621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_Toc21683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七、</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般公共预算财政拨款支出决算明细表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_Toc21683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_Toc7829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八、</w:t>
          </w:r>
          <w:r>
            <w:rPr>
              <w:rFonts w:hint="eastAsia" w:ascii="黑体" w:hAnsi="黑体" w:eastAsia="黑体" w:cs="黑体"/>
              <w:highlight w:val="none"/>
            </w:rPr>
            <w:t>一</w:t>
          </w:r>
          <w:r>
            <w:rPr>
              <w:rFonts w:hint="eastAsia" w:ascii="黑体" w:hAnsi="黑体" w:eastAsia="黑体" w:cs="黑体"/>
              <w:bCs w:val="0"/>
              <w:highlight w:val="none"/>
            </w:rPr>
            <w:t>般公共预算财政拨款基本支出决算表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_Toc7829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_Toc7452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九、</w:t>
          </w:r>
          <w:r>
            <w:rPr>
              <w:rFonts w:hint="eastAsia" w:ascii="黑体" w:hAnsi="黑体" w:eastAsia="黑体" w:cs="黑体"/>
              <w:highlight w:val="none"/>
            </w:rPr>
            <w:t>一</w:t>
          </w:r>
          <w:r>
            <w:rPr>
              <w:rFonts w:hint="eastAsia" w:ascii="黑体" w:hAnsi="黑体" w:eastAsia="黑体" w:cs="黑体"/>
              <w:bCs w:val="0"/>
              <w:highlight w:val="none"/>
            </w:rPr>
            <w:t>般公共预算财政拨款项目支出决算表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_Toc7452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_Toc14262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十、</w:t>
          </w:r>
          <w:r>
            <w:rPr>
              <w:rFonts w:hint="eastAsia" w:ascii="黑体" w:hAnsi="黑体" w:eastAsia="黑体" w:cs="黑体"/>
              <w:highlight w:val="none"/>
            </w:rPr>
            <w:t>政</w:t>
          </w:r>
          <w:r>
            <w:rPr>
              <w:rFonts w:hint="eastAsia" w:ascii="黑体" w:hAnsi="黑体" w:eastAsia="黑体" w:cs="黑体"/>
              <w:bCs w:val="0"/>
              <w:highlight w:val="none"/>
            </w:rPr>
            <w:t>府性基金预算财政拨款收入支出决算表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_Toc14262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_Toc25929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十一、</w:t>
          </w:r>
          <w:r>
            <w:rPr>
              <w:rFonts w:hint="eastAsia" w:ascii="黑体" w:hAnsi="黑体" w:eastAsia="黑体" w:cs="黑体"/>
              <w:highlight w:val="none"/>
            </w:rPr>
            <w:t>国</w:t>
          </w:r>
          <w:r>
            <w:rPr>
              <w:rFonts w:hint="eastAsia" w:ascii="黑体" w:hAnsi="黑体" w:eastAsia="黑体" w:cs="黑体"/>
              <w:bCs w:val="0"/>
              <w:highlight w:val="none"/>
            </w:rPr>
            <w:t>有资本经营预算</w:t>
          </w:r>
          <w:r>
            <w:rPr>
              <w:rFonts w:hint="eastAsia" w:ascii="黑体" w:hAnsi="黑体" w:eastAsia="黑体" w:cs="黑体"/>
              <w:bCs w:val="0"/>
              <w:highlight w:val="none"/>
              <w:lang w:eastAsia="zh-CN"/>
            </w:rPr>
            <w:t>财政拨款收入</w:t>
          </w:r>
          <w:r>
            <w:rPr>
              <w:rFonts w:hint="eastAsia" w:ascii="黑体" w:hAnsi="黑体" w:eastAsia="黑体" w:cs="黑体"/>
              <w:bCs w:val="0"/>
              <w:highlight w:val="none"/>
            </w:rPr>
            <w:t>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_Toc25929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rPr>
              <w:rFonts w:hint="eastAsia" w:ascii="黑体" w:hAnsi="黑体" w:eastAsia="黑体" w:cs="黑体"/>
            </w:rPr>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_Toc25754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十二、</w:t>
          </w:r>
          <w:r>
            <w:rPr>
              <w:rFonts w:hint="eastAsia" w:ascii="黑体" w:hAnsi="黑体" w:eastAsia="黑体" w:cs="黑体"/>
              <w:bCs w:val="0"/>
              <w:highlight w:val="none"/>
              <w:lang w:eastAsia="zh-CN"/>
            </w:rPr>
            <w:t>国有资本经营预算财政拨款支出决算表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_Toc25754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pStyle w:val="31"/>
            <w:tabs>
              <w:tab w:val="right" w:leader="dot" w:pos="8306"/>
            </w:tabs>
          </w:pPr>
          <w:r>
            <w:rPr>
              <w:rFonts w:hint="eastAsia" w:ascii="黑体" w:hAnsi="黑体" w:eastAsia="黑体" w:cs="黑体"/>
              <w:lang w:val="en-US" w:eastAsia="zh-CN"/>
            </w:rPr>
            <w:fldChar w:fldCharType="begin"/>
          </w:r>
          <w:r>
            <w:rPr>
              <w:rFonts w:hint="eastAsia" w:ascii="黑体" w:hAnsi="黑体" w:eastAsia="黑体" w:cs="黑体"/>
              <w:lang w:val="en-US" w:eastAsia="zh-CN"/>
            </w:rPr>
            <w:instrText xml:space="preserve"> HYPERLINK \l _Toc3581 </w:instrText>
          </w:r>
          <w:r>
            <w:rPr>
              <w:rFonts w:hint="eastAsia" w:ascii="黑体" w:hAnsi="黑体" w:eastAsia="黑体" w:cs="黑体"/>
              <w:lang w:val="en-US" w:eastAsia="zh-CN"/>
            </w:rPr>
            <w:fldChar w:fldCharType="separate"/>
          </w:r>
          <w:r>
            <w:rPr>
              <w:rFonts w:hint="eastAsia" w:ascii="黑体" w:hAnsi="黑体" w:eastAsia="黑体" w:cs="黑体"/>
              <w:bCs w:val="0"/>
              <w:highlight w:val="none"/>
            </w:rPr>
            <w:t>十三、</w:t>
          </w:r>
          <w:r>
            <w:rPr>
              <w:rFonts w:hint="eastAsia" w:ascii="黑体" w:hAnsi="黑体" w:eastAsia="黑体" w:cs="黑体"/>
              <w:bCs w:val="0"/>
              <w:highlight w:val="none"/>
              <w:lang w:eastAsia="zh-CN"/>
            </w:rPr>
            <w:t>财政拨款“三公”经费支出决算表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_Toc3581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lang w:val="en-US" w:eastAsia="zh-CN"/>
            </w:rPr>
            <w:fldChar w:fldCharType="end"/>
          </w:r>
        </w:p>
        <w:p>
          <w:pPr>
            <w:rPr>
              <w:rFonts w:hint="eastAsia"/>
              <w:lang w:val="en-US" w:eastAsia="zh-CN"/>
            </w:rPr>
          </w:pPr>
          <w:r>
            <w:rPr>
              <w:rFonts w:hint="eastAsia"/>
              <w:b/>
              <w:lang w:val="en-US" w:eastAsia="zh-CN"/>
            </w:rPr>
            <w:fldChar w:fldCharType="end"/>
          </w:r>
        </w:p>
      </w:sdtContent>
    </w:sdt>
    <w:p>
      <w:pPr>
        <w:pStyle w:val="3"/>
        <w:jc w:val="center"/>
        <w:rPr>
          <w:rFonts w:hint="eastAsia" w:ascii="黑体" w:hAnsi="黑体" w:eastAsia="黑体"/>
          <w:b w:val="0"/>
          <w:color w:val="auto"/>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5" w:name="_Toc29016"/>
      <w:bookmarkStart w:id="16" w:name="_Toc15377196"/>
      <w:bookmarkStart w:id="17" w:name="_Toc15396599"/>
    </w:p>
    <w:p>
      <w:pPr>
        <w:pStyle w:val="3"/>
        <w:jc w:val="center"/>
        <w:rPr>
          <w:rFonts w:ascii="黑体" w:eastAsia="黑体"/>
          <w:color w:val="auto"/>
          <w:sz w:val="32"/>
          <w:szCs w:val="32"/>
          <w:highlight w:val="none"/>
        </w:rPr>
      </w:pPr>
      <w:r>
        <w:rPr>
          <w:rFonts w:hint="eastAsia" w:ascii="黑体" w:hAnsi="黑体" w:eastAsia="黑体"/>
          <w:b w:val="0"/>
          <w:color w:val="auto"/>
          <w:highlight w:val="none"/>
        </w:rPr>
        <w:t>第一部分</w:t>
      </w:r>
      <w:r>
        <w:rPr>
          <w:rFonts w:hint="eastAsia" w:ascii="黑体" w:hAnsi="黑体" w:eastAsia="黑体"/>
          <w:b w:val="0"/>
          <w:color w:val="auto"/>
          <w:highlight w:val="none"/>
          <w:lang w:val="en-US" w:eastAsia="zh-CN"/>
        </w:rPr>
        <w:t xml:space="preserve"> </w:t>
      </w:r>
      <w:r>
        <w:rPr>
          <w:rFonts w:hint="eastAsia" w:ascii="黑体" w:hAnsi="黑体" w:eastAsia="黑体"/>
          <w:b w:val="0"/>
          <w:color w:val="auto"/>
          <w:highlight w:val="none"/>
          <w:lang w:eastAsia="zh-CN"/>
        </w:rPr>
        <w:t>单位</w:t>
      </w:r>
      <w:r>
        <w:rPr>
          <w:rStyle w:val="16"/>
          <w:rFonts w:hint="eastAsia" w:ascii="黑体" w:hAnsi="黑体" w:eastAsia="黑体"/>
          <w:b w:val="0"/>
          <w:bCs w:val="0"/>
          <w:color w:val="auto"/>
          <w:highlight w:val="none"/>
        </w:rPr>
        <w:t>概况</w:t>
      </w:r>
      <w:bookmarkEnd w:id="15"/>
      <w:bookmarkEnd w:id="16"/>
      <w:bookmarkEnd w:id="17"/>
    </w:p>
    <w:p>
      <w:pPr>
        <w:pStyle w:val="4"/>
        <w:pageBreakBefore w:val="0"/>
        <w:numPr>
          <w:ilvl w:val="0"/>
          <w:numId w:val="1"/>
        </w:numPr>
        <w:kinsoku/>
        <w:wordWrap/>
        <w:overflowPunct/>
        <w:topLinePunct w:val="0"/>
        <w:autoSpaceDE/>
        <w:autoSpaceDN/>
        <w:bidi w:val="0"/>
        <w:adjustRightInd/>
        <w:snapToGrid/>
        <w:ind w:firstLine="640" w:firstLineChars="200"/>
        <w:textAlignment w:val="auto"/>
        <w:rPr>
          <w:rStyle w:val="17"/>
          <w:rFonts w:hint="eastAsia" w:ascii="黑体" w:hAnsi="黑体" w:eastAsia="黑体"/>
          <w:b w:val="0"/>
          <w:bCs w:val="0"/>
          <w:color w:val="auto"/>
          <w:highlight w:val="none"/>
          <w:lang w:eastAsia="zh-CN"/>
        </w:rPr>
      </w:pPr>
      <w:bookmarkStart w:id="18" w:name="_Toc20484"/>
      <w:bookmarkStart w:id="19" w:name="_Toc15396600"/>
      <w:bookmarkStart w:id="20" w:name="_Toc15377197"/>
      <w:r>
        <w:rPr>
          <w:rStyle w:val="17"/>
          <w:rFonts w:hint="eastAsia" w:ascii="黑体" w:hAnsi="黑体" w:eastAsia="黑体"/>
          <w:b w:val="0"/>
          <w:bCs w:val="0"/>
          <w:color w:val="auto"/>
          <w:highlight w:val="none"/>
          <w:lang w:eastAsia="zh-CN"/>
        </w:rPr>
        <w:t>主要职责</w:t>
      </w:r>
      <w:bookmarkEnd w:id="18"/>
    </w:p>
    <w:p>
      <w:pPr>
        <w:pageBreakBefore w:val="0"/>
        <w:kinsoku/>
        <w:wordWrap/>
        <w:overflowPunct/>
        <w:topLinePunct w:val="0"/>
        <w:autoSpaceDE/>
        <w:autoSpaceDN/>
        <w:bidi w:val="0"/>
        <w:adjustRightInd/>
        <w:snapToGrid/>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广元市儿童福利院负责本地区弃婴和孤儿收养，并为其提供养护、医疗、康复、教育等服务；协助机关开展全市儿童福利服务指导工作；暂为代管市社会福利院事务。</w:t>
      </w:r>
    </w:p>
    <w:p>
      <w:pPr>
        <w:pStyle w:val="4"/>
        <w:pageBreakBefore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b w:val="0"/>
          <w:color w:val="auto"/>
          <w:highlight w:val="none"/>
          <w:lang w:val="en-US" w:eastAsia="zh-CN"/>
        </w:rPr>
      </w:pPr>
      <w:bookmarkStart w:id="21" w:name="_Toc1196"/>
      <w:r>
        <w:rPr>
          <w:rFonts w:hint="eastAsia" w:ascii="黑体" w:hAnsi="黑体" w:eastAsia="黑体"/>
          <w:b w:val="0"/>
          <w:color w:val="auto"/>
          <w:highlight w:val="none"/>
          <w:lang w:val="en-US" w:eastAsia="zh-CN"/>
        </w:rPr>
        <w:t>二、机构设置</w:t>
      </w:r>
      <w:bookmarkEnd w:id="21"/>
    </w:p>
    <w:bookmarkEnd w:id="19"/>
    <w:bookmarkEnd w:id="20"/>
    <w:p>
      <w:pPr>
        <w:pageBreakBefore w:val="0"/>
        <w:widowControl/>
        <w:kinsoku/>
        <w:wordWrap/>
        <w:overflowPunct/>
        <w:topLinePunct w:val="0"/>
        <w:autoSpaceDE/>
        <w:autoSpaceDN/>
        <w:bidi w:val="0"/>
        <w:adjustRightInd/>
        <w:snapToGrid/>
        <w:ind w:firstLine="640" w:firstLineChars="200"/>
        <w:jc w:val="left"/>
        <w:textAlignment w:val="auto"/>
        <w:rPr>
          <w:rFonts w:ascii="仿宋" w:hAnsi="仿宋" w:eastAsia="仿宋"/>
          <w:color w:val="auto"/>
          <w:kern w:val="0"/>
          <w:sz w:val="32"/>
          <w:szCs w:val="32"/>
          <w:highlight w:val="none"/>
        </w:rPr>
      </w:pPr>
      <w:r>
        <w:rPr>
          <w:rFonts w:hint="eastAsia" w:ascii="仿宋" w:hAnsi="仿宋" w:eastAsia="仿宋"/>
          <w:color w:val="auto"/>
          <w:sz w:val="32"/>
          <w:szCs w:val="32"/>
          <w:highlight w:val="none"/>
          <w:lang w:eastAsia="zh-CN"/>
        </w:rPr>
        <w:t>广元市儿童福利院为民政局直属事业单位，内设党办、办公室、财务股、项目办、儿保股、康复股、医务股、社工股、工会等</w:t>
      </w:r>
      <w:r>
        <w:rPr>
          <w:rFonts w:hint="eastAsia" w:ascii="仿宋" w:hAnsi="仿宋" w:eastAsia="仿宋"/>
          <w:color w:val="auto"/>
          <w:sz w:val="32"/>
          <w:szCs w:val="32"/>
          <w:highlight w:val="none"/>
          <w:lang w:val="en-US" w:eastAsia="zh-CN"/>
        </w:rPr>
        <w:t>9个股室，单位实配领导1正2副。</w:t>
      </w:r>
      <w:r>
        <w:rPr>
          <w:rFonts w:ascii="仿宋" w:hAnsi="仿宋" w:eastAsia="仿宋"/>
          <w:color w:val="auto"/>
          <w:sz w:val="32"/>
          <w:szCs w:val="32"/>
          <w:highlight w:val="none"/>
        </w:rPr>
        <w:br w:type="page"/>
      </w:r>
    </w:p>
    <w:p>
      <w:pPr>
        <w:pStyle w:val="3"/>
        <w:ind w:right="440"/>
        <w:jc w:val="center"/>
        <w:rPr>
          <w:rStyle w:val="16"/>
          <w:rFonts w:ascii="黑体" w:hAnsi="黑体" w:eastAsia="黑体"/>
          <w:b w:val="0"/>
          <w:bCs/>
          <w:color w:val="auto"/>
          <w:highlight w:val="none"/>
        </w:rPr>
      </w:pPr>
      <w:bookmarkStart w:id="22" w:name="_Toc15377204"/>
      <w:bookmarkStart w:id="23" w:name="_Toc15396602"/>
      <w:bookmarkStart w:id="24" w:name="_Toc6047"/>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16"/>
          <w:rFonts w:hint="eastAsia" w:ascii="黑体" w:hAnsi="黑体" w:eastAsia="黑体"/>
          <w:b w:val="0"/>
          <w:bCs/>
          <w:color w:val="auto"/>
          <w:highlight w:val="none"/>
          <w:lang w:eastAsia="zh-CN"/>
        </w:rPr>
        <w:t>单位</w:t>
      </w:r>
      <w:r>
        <w:rPr>
          <w:rStyle w:val="16"/>
          <w:rFonts w:hint="eastAsia" w:ascii="黑体" w:hAnsi="黑体" w:eastAsia="黑体"/>
          <w:b w:val="0"/>
          <w:bCs/>
          <w:color w:val="auto"/>
          <w:highlight w:val="none"/>
        </w:rPr>
        <w:t>决算情况说明</w:t>
      </w:r>
      <w:bookmarkEnd w:id="22"/>
      <w:bookmarkEnd w:id="23"/>
      <w:bookmarkEnd w:id="24"/>
    </w:p>
    <w:p>
      <w:pPr>
        <w:rPr>
          <w:color w:val="auto"/>
          <w:highlight w:val="none"/>
        </w:rPr>
      </w:pPr>
    </w:p>
    <w:p>
      <w:pPr>
        <w:pStyle w:val="26"/>
        <w:numPr>
          <w:ilvl w:val="0"/>
          <w:numId w:val="2"/>
        </w:numPr>
        <w:spacing w:line="600" w:lineRule="exact"/>
        <w:ind w:firstLineChars="0"/>
        <w:outlineLvl w:val="1"/>
        <w:rPr>
          <w:rStyle w:val="17"/>
          <w:rFonts w:ascii="黑体" w:hAnsi="黑体" w:eastAsia="黑体"/>
          <w:b w:val="0"/>
          <w:color w:val="auto"/>
          <w:highlight w:val="none"/>
        </w:rPr>
      </w:pPr>
      <w:bookmarkStart w:id="25" w:name="_Toc15377205"/>
      <w:bookmarkStart w:id="26" w:name="_Toc15396603"/>
      <w:bookmarkStart w:id="27" w:name="_Toc9010"/>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入支出决算总体情况说明</w:t>
      </w:r>
      <w:bookmarkEnd w:id="25"/>
      <w:bookmarkEnd w:id="26"/>
      <w:bookmarkEnd w:id="27"/>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_GB2312" w:hAnsi="仿宋_GB2312" w:eastAsia="仿宋_GB2312"/>
          <w:color w:val="000000"/>
          <w:kern w:val="2"/>
          <w:sz w:val="32"/>
          <w:szCs w:val="24"/>
          <w:lang w:val="zh-CN"/>
        </w:rPr>
        <w:t>826.6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_GB2312" w:hAnsi="仿宋_GB2312" w:eastAsia="仿宋_GB2312"/>
          <w:color w:val="000000"/>
          <w:kern w:val="2"/>
          <w:sz w:val="32"/>
          <w:szCs w:val="24"/>
          <w:lang w:val="zh-CN"/>
        </w:rPr>
        <w:t>92.6</w:t>
      </w:r>
      <w:r>
        <w:rPr>
          <w:rFonts w:hint="eastAsia" w:ascii="仿宋_GB2312" w:hAnsi="仿宋_GB2312" w:eastAsia="仿宋_GB2312"/>
          <w:color w:val="000000"/>
          <w:kern w:val="2"/>
          <w:sz w:val="32"/>
          <w:szCs w:val="24"/>
          <w:lang w:val="en-US" w:eastAsia="zh-CN"/>
        </w:rPr>
        <w:t>4</w:t>
      </w:r>
      <w:r>
        <w:rPr>
          <w:rFonts w:hint="eastAsia" w:ascii="仿宋" w:hAnsi="仿宋" w:eastAsia="仿宋"/>
          <w:color w:val="auto"/>
          <w:sz w:val="32"/>
          <w:szCs w:val="32"/>
          <w:highlight w:val="none"/>
        </w:rPr>
        <w:t>万元，下降</w:t>
      </w:r>
      <w:r>
        <w:rPr>
          <w:rFonts w:hint="eastAsia" w:ascii="仿宋_GB2312" w:hAnsi="仿宋_GB2312" w:eastAsia="仿宋_GB2312"/>
          <w:color w:val="000000"/>
          <w:kern w:val="2"/>
          <w:sz w:val="32"/>
          <w:szCs w:val="24"/>
          <w:lang w:val="zh-CN"/>
        </w:rPr>
        <w:t>10.</w:t>
      </w:r>
      <w:r>
        <w:rPr>
          <w:rFonts w:hint="eastAsia" w:ascii="仿宋_GB2312" w:hAnsi="仿宋_GB2312" w:eastAsia="仿宋_GB2312"/>
          <w:color w:val="000000"/>
          <w:kern w:val="2"/>
          <w:sz w:val="32"/>
          <w:szCs w:val="24"/>
          <w:lang w:val="en-US" w:eastAsia="zh-CN"/>
        </w:rPr>
        <w:t>07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color w:val="000000" w:themeColor="text1"/>
          <w:sz w:val="32"/>
          <w:szCs w:val="32"/>
          <w:highlight w:val="none"/>
          <w:lang w:val="en-US" w:eastAsia="zh-CN"/>
          <w14:textFill>
            <w14:solidFill>
              <w14:schemeClr w14:val="tx1"/>
            </w14:solidFill>
          </w14:textFill>
        </w:rPr>
        <w:t>2021年年初结转结余大于2022年年初结转结余</w:t>
      </w:r>
      <w:r>
        <w:rPr>
          <w:rFonts w:hint="eastAsia" w:ascii="仿宋" w:hAnsi="仿宋" w:eastAsia="仿宋"/>
          <w:color w:val="000000" w:themeColor="text1"/>
          <w:sz w:val="32"/>
          <w:szCs w:val="32"/>
          <w:highlight w:val="none"/>
          <w:lang w:eastAsia="zh-CN"/>
          <w14:textFill>
            <w14:solidFill>
              <w14:schemeClr w14:val="tx1"/>
            </w14:solidFill>
          </w14:textFill>
        </w:rPr>
        <w:t>。</w:t>
      </w:r>
    </w:p>
    <w:p>
      <w:pPr>
        <w:spacing w:line="600" w:lineRule="exact"/>
        <w:ind w:firstLine="420" w:firstLineChars="200"/>
        <w:rPr>
          <w:rFonts w:hint="eastAsia" w:ascii="仿宋_GB2312" w:eastAsia="仿宋_GB2312"/>
          <w:color w:val="auto"/>
          <w:sz w:val="32"/>
          <w:szCs w:val="32"/>
          <w:highlight w:val="none"/>
          <w:lang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52070</wp:posOffset>
            </wp:positionH>
            <wp:positionV relativeFrom="paragraph">
              <wp:posOffset>194945</wp:posOffset>
            </wp:positionV>
            <wp:extent cx="5080000" cy="3810000"/>
            <wp:effectExtent l="4445" t="4445" r="20955" b="14605"/>
            <wp:wrapSquare wrapText="bothSides"/>
            <wp:docPr id="6" name="图表 6"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6"/>
        <w:numPr>
          <w:ilvl w:val="0"/>
          <w:numId w:val="2"/>
        </w:numPr>
        <w:spacing w:line="600" w:lineRule="exact"/>
        <w:ind w:firstLineChars="0"/>
        <w:outlineLvl w:val="1"/>
        <w:rPr>
          <w:rStyle w:val="17"/>
          <w:rFonts w:ascii="黑体" w:hAnsi="黑体" w:eastAsia="黑体"/>
          <w:b w:val="0"/>
          <w:color w:val="auto"/>
          <w:highlight w:val="none"/>
        </w:rPr>
      </w:pPr>
      <w:bookmarkStart w:id="28" w:name="_Toc15377206"/>
      <w:bookmarkStart w:id="29" w:name="_Toc28070"/>
      <w:bookmarkStart w:id="30" w:name="_Toc15396604"/>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入决算情况说明</w:t>
      </w:r>
      <w:bookmarkEnd w:id="28"/>
      <w:bookmarkEnd w:id="29"/>
      <w:bookmarkEnd w:id="30"/>
    </w:p>
    <w:p>
      <w:pPr>
        <w:spacing w:line="600" w:lineRule="exact"/>
        <w:ind w:firstLine="640" w:firstLineChars="200"/>
        <w:outlineLvl w:val="1"/>
        <w:rPr>
          <w:rFonts w:ascii="仿宋" w:hAnsi="仿宋" w:eastAsia="仿宋"/>
          <w:color w:val="auto"/>
          <w:sz w:val="32"/>
          <w:szCs w:val="32"/>
          <w:highlight w:val="none"/>
        </w:rPr>
      </w:pPr>
      <w:bookmarkStart w:id="31" w:name="_Toc2238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748.23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682.17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91.17</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32.35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4.32</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33.72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1"/>
    </w:p>
    <w:p>
      <w:pPr>
        <w:spacing w:line="600" w:lineRule="exact"/>
        <w:ind w:firstLine="642" w:firstLineChars="200"/>
        <w:rPr>
          <w:rFonts w:hint="eastAsia" w:ascii="仿宋" w:hAnsi="仿宋" w:eastAsia="仿宋"/>
          <w:color w:val="auto"/>
          <w:sz w:val="32"/>
          <w:szCs w:val="32"/>
          <w:highlight w:val="none"/>
        </w:rPr>
      </w:pPr>
      <w:r>
        <w:rPr>
          <w:rFonts w:hint="eastAsia" w:ascii="仿宋" w:hAnsi="仿宋" w:eastAsia="仿宋"/>
          <w:b/>
          <w:color w:val="auto"/>
          <w:sz w:val="32"/>
          <w:szCs w:val="32"/>
          <w:highlight w:val="none"/>
          <w:lang w:eastAsia="zh-CN"/>
        </w:rPr>
        <w:drawing>
          <wp:anchor distT="0" distB="0" distL="114935" distR="114935" simplePos="0" relativeHeight="251661312" behindDoc="0" locked="0" layoutInCell="1" allowOverlap="1">
            <wp:simplePos x="0" y="0"/>
            <wp:positionH relativeFrom="column">
              <wp:posOffset>366395</wp:posOffset>
            </wp:positionH>
            <wp:positionV relativeFrom="paragraph">
              <wp:posOffset>61595</wp:posOffset>
            </wp:positionV>
            <wp:extent cx="4613275" cy="3219450"/>
            <wp:effectExtent l="4445" t="5080" r="11430" b="52070"/>
            <wp:wrapSquare wrapText="bothSides"/>
            <wp:docPr id="11" name="图表 1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26"/>
        <w:numPr>
          <w:ilvl w:val="0"/>
          <w:numId w:val="2"/>
        </w:numPr>
        <w:spacing w:line="600" w:lineRule="exact"/>
        <w:ind w:firstLineChars="0"/>
        <w:outlineLvl w:val="1"/>
        <w:rPr>
          <w:rStyle w:val="17"/>
          <w:rFonts w:ascii="黑体" w:hAnsi="黑体" w:eastAsia="黑体"/>
          <w:b w:val="0"/>
          <w:color w:val="auto"/>
          <w:highlight w:val="none"/>
        </w:rPr>
      </w:pPr>
      <w:bookmarkStart w:id="32" w:name="_Toc19579"/>
      <w:bookmarkStart w:id="33" w:name="_Toc15377207"/>
      <w:bookmarkStart w:id="34" w:name="_Toc15396605"/>
      <w:r>
        <w:rPr>
          <w:rFonts w:hint="eastAsia" w:ascii="黑体" w:hAnsi="黑体" w:eastAsia="黑体"/>
          <w:color w:val="auto"/>
          <w:sz w:val="32"/>
          <w:szCs w:val="32"/>
          <w:highlight w:val="none"/>
        </w:rPr>
        <w:t>支</w:t>
      </w:r>
      <w:r>
        <w:rPr>
          <w:rStyle w:val="17"/>
          <w:rFonts w:hint="eastAsia" w:ascii="黑体" w:hAnsi="黑体" w:eastAsia="黑体"/>
          <w:b w:val="0"/>
          <w:color w:val="auto"/>
          <w:highlight w:val="none"/>
        </w:rPr>
        <w:t>出决算情况说明</w:t>
      </w:r>
      <w:bookmarkEnd w:id="32"/>
      <w:bookmarkEnd w:id="33"/>
      <w:bookmarkEnd w:id="34"/>
    </w:p>
    <w:p>
      <w:pPr>
        <w:spacing w:line="600" w:lineRule="exact"/>
        <w:ind w:firstLine="640" w:firstLineChars="200"/>
        <w:outlineLvl w:val="1"/>
        <w:rPr>
          <w:rFonts w:ascii="仿宋" w:hAnsi="仿宋" w:eastAsia="仿宋"/>
          <w:color w:val="auto"/>
          <w:sz w:val="32"/>
          <w:szCs w:val="32"/>
          <w:highlight w:val="none"/>
        </w:rPr>
      </w:pPr>
      <w:bookmarkStart w:id="35" w:name="_Toc2771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_GB2312" w:hAnsi="仿宋_GB2312" w:eastAsia="仿宋_GB2312"/>
          <w:color w:val="000000"/>
          <w:kern w:val="2"/>
          <w:sz w:val="32"/>
          <w:szCs w:val="24"/>
          <w:lang w:val="en-US" w:eastAsia="zh-CN"/>
        </w:rPr>
        <w:t>795.39</w:t>
      </w:r>
      <w:r>
        <w:rPr>
          <w:rFonts w:hint="eastAsia" w:ascii="仿宋" w:hAnsi="仿宋" w:eastAsia="仿宋"/>
          <w:color w:val="auto"/>
          <w:sz w:val="32"/>
          <w:szCs w:val="32"/>
          <w:highlight w:val="none"/>
        </w:rPr>
        <w:t>万元，其中：基本支出</w:t>
      </w:r>
      <w:r>
        <w:rPr>
          <w:rFonts w:hint="eastAsia" w:ascii="仿宋_GB2312" w:hAnsi="仿宋_GB2312" w:eastAsia="仿宋_GB2312"/>
          <w:color w:val="000000"/>
          <w:kern w:val="2"/>
          <w:sz w:val="32"/>
          <w:szCs w:val="24"/>
          <w:lang w:val="zh-CN"/>
        </w:rPr>
        <w:t>499.3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62.78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_GB2312" w:hAnsi="仿宋_GB2312" w:eastAsia="仿宋_GB2312"/>
          <w:color w:val="000000"/>
          <w:kern w:val="2"/>
          <w:sz w:val="32"/>
          <w:szCs w:val="24"/>
          <w:lang w:val="zh-CN"/>
        </w:rPr>
        <w:t>296.0</w:t>
      </w:r>
      <w:r>
        <w:rPr>
          <w:rFonts w:hint="eastAsia" w:ascii="仿宋_GB2312" w:hAnsi="仿宋_GB2312" w:eastAsia="仿宋_GB2312"/>
          <w:color w:val="000000"/>
          <w:kern w:val="2"/>
          <w:sz w:val="32"/>
          <w:szCs w:val="24"/>
          <w:lang w:val="en-US" w:eastAsia="zh-CN"/>
        </w:rPr>
        <w:t>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37.22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p>
    <w:p>
      <w:pPr>
        <w:spacing w:line="600" w:lineRule="exact"/>
        <w:ind w:firstLine="640"/>
        <w:rPr>
          <w:rFonts w:ascii="仿宋" w:hAnsi="仿宋" w:eastAsia="仿宋"/>
          <w:color w:val="auto"/>
          <w:sz w:val="32"/>
          <w:szCs w:val="32"/>
          <w:highlight w:val="none"/>
          <w:shd w:val="pct10" w:color="auto" w:fill="FFFFFF"/>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2336" behindDoc="0" locked="0" layoutInCell="1" allowOverlap="1">
            <wp:simplePos x="0" y="0"/>
            <wp:positionH relativeFrom="column">
              <wp:posOffset>366395</wp:posOffset>
            </wp:positionH>
            <wp:positionV relativeFrom="paragraph">
              <wp:posOffset>14605</wp:posOffset>
            </wp:positionV>
            <wp:extent cx="4605020" cy="2809240"/>
            <wp:effectExtent l="4445" t="4445" r="19685" b="62865"/>
            <wp:wrapSquare wrapText="bothSides"/>
            <wp:docPr id="12" name="图表 1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17"/>
          <w:rFonts w:ascii="黑体" w:hAnsi="黑体" w:eastAsia="黑体"/>
          <w:b w:val="0"/>
          <w:color w:val="auto"/>
          <w:highlight w:val="none"/>
        </w:rPr>
      </w:pPr>
      <w:bookmarkStart w:id="36" w:name="_Toc15377208"/>
      <w:bookmarkStart w:id="37" w:name="_Toc15396606"/>
      <w:bookmarkStart w:id="38" w:name="_Toc3510"/>
      <w:r>
        <w:rPr>
          <w:rFonts w:hint="eastAsia" w:ascii="黑体" w:hAnsi="黑体" w:eastAsia="黑体"/>
          <w:color w:val="auto"/>
          <w:sz w:val="32"/>
          <w:szCs w:val="32"/>
          <w:highlight w:val="none"/>
        </w:rPr>
        <w:t>四、财</w:t>
      </w:r>
      <w:r>
        <w:rPr>
          <w:rStyle w:val="17"/>
          <w:rFonts w:hint="eastAsia" w:ascii="黑体" w:hAnsi="黑体" w:eastAsia="黑体"/>
          <w:b w:val="0"/>
          <w:color w:val="auto"/>
          <w:highlight w:val="none"/>
        </w:rPr>
        <w:t>政拨款收入支出决算总体情况说明</w:t>
      </w:r>
      <w:bookmarkEnd w:id="36"/>
      <w:bookmarkEnd w:id="37"/>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_GB2312" w:hAnsi="仿宋_GB2312" w:eastAsia="仿宋_GB2312"/>
          <w:color w:val="000000"/>
          <w:kern w:val="2"/>
          <w:sz w:val="32"/>
          <w:szCs w:val="24"/>
          <w:lang w:val="zh-CN"/>
        </w:rPr>
        <w:t>765.15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108.69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12.44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w:t>
      </w:r>
      <w:r>
        <w:rPr>
          <w:rFonts w:hint="eastAsia" w:ascii="仿宋" w:hAnsi="仿宋" w:eastAsia="仿宋"/>
          <w:color w:val="auto"/>
          <w:sz w:val="32"/>
          <w:szCs w:val="32"/>
          <w:highlight w:val="none"/>
          <w:lang w:eastAsia="zh-CN"/>
        </w:rPr>
        <w:t>原因是</w:t>
      </w:r>
      <w:r>
        <w:rPr>
          <w:rFonts w:hint="eastAsia" w:ascii="仿宋" w:hAnsi="仿宋" w:eastAsia="仿宋"/>
          <w:color w:val="000000" w:themeColor="text1"/>
          <w:sz w:val="32"/>
          <w:szCs w:val="32"/>
          <w:highlight w:val="none"/>
          <w:lang w:val="en-US" w:eastAsia="zh-CN"/>
          <w14:textFill>
            <w14:solidFill>
              <w14:schemeClr w14:val="tx1"/>
            </w14:solidFill>
          </w14:textFill>
        </w:rPr>
        <w:t>2021年年初结转结余大于2022年年初结转结余。</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935" distR="114935" simplePos="0" relativeHeight="251663360" behindDoc="0" locked="0" layoutInCell="1" allowOverlap="1">
            <wp:simplePos x="0" y="0"/>
            <wp:positionH relativeFrom="column">
              <wp:posOffset>299720</wp:posOffset>
            </wp:positionH>
            <wp:positionV relativeFrom="paragraph">
              <wp:posOffset>309245</wp:posOffset>
            </wp:positionV>
            <wp:extent cx="4709160" cy="3019425"/>
            <wp:effectExtent l="4445" t="4445" r="10795" b="5080"/>
            <wp:wrapSquare wrapText="bothSides"/>
            <wp:docPr id="18" name="图表 18"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17"/>
          <w:rFonts w:ascii="黑体" w:hAnsi="黑体" w:eastAsia="黑体"/>
          <w:b w:val="0"/>
          <w:color w:val="auto"/>
          <w:highlight w:val="none"/>
        </w:rPr>
      </w:pPr>
      <w:bookmarkStart w:id="39" w:name="_Toc15377209"/>
      <w:bookmarkStart w:id="40" w:name="_Toc28328"/>
      <w:bookmarkStart w:id="4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般公共预算财政拨款支出决算情况说明</w:t>
      </w:r>
      <w:bookmarkEnd w:id="39"/>
      <w:bookmarkEnd w:id="40"/>
      <w:bookmarkEnd w:id="41"/>
    </w:p>
    <w:p>
      <w:pPr>
        <w:spacing w:line="600" w:lineRule="exact"/>
        <w:ind w:firstLine="642"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_GB2312" w:hAnsi="仿宋_GB2312" w:eastAsia="仿宋_GB2312"/>
          <w:color w:val="000000"/>
          <w:kern w:val="2"/>
          <w:sz w:val="32"/>
          <w:szCs w:val="24"/>
          <w:lang w:val="zh-CN"/>
        </w:rPr>
        <w:t>698.94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87.87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20.91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3.08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2022年将城乡医疗救助资金从彩票公益金纳入</w:t>
      </w:r>
      <w:r>
        <w:rPr>
          <w:rFonts w:hint="eastAsia" w:ascii="仿宋" w:hAnsi="仿宋" w:eastAsia="仿宋"/>
          <w:color w:val="auto"/>
          <w:sz w:val="32"/>
          <w:szCs w:val="32"/>
          <w:highlight w:val="none"/>
        </w:rPr>
        <w:t>一般公共预算财政拨款</w:t>
      </w:r>
      <w:r>
        <w:rPr>
          <w:rFonts w:hint="eastAsia" w:ascii="仿宋" w:hAnsi="仿宋" w:eastAsia="仿宋"/>
          <w:color w:val="auto"/>
          <w:sz w:val="32"/>
          <w:szCs w:val="32"/>
          <w:highlight w:val="none"/>
          <w:lang w:eastAsia="zh-CN"/>
        </w:rPr>
        <w:t>。</w:t>
      </w:r>
    </w:p>
    <w:p>
      <w:pPr>
        <w:spacing w:line="600" w:lineRule="exact"/>
        <w:ind w:firstLine="398" w:firstLineChars="200"/>
        <w:rPr>
          <w:rFonts w:ascii="仿宋" w:hAnsi="仿宋" w:eastAsia="仿宋"/>
          <w:color w:val="auto"/>
          <w:sz w:val="32"/>
          <w:szCs w:val="32"/>
          <w:highlight w:val="none"/>
        </w:rPr>
      </w:pPr>
      <w:r>
        <w:rPr>
          <w:rFonts w:hint="eastAsia" w:eastAsia="仿宋"/>
          <w:w w:val="95"/>
          <w:lang w:eastAsia="zh-CN"/>
        </w:rPr>
        <w:drawing>
          <wp:anchor distT="0" distB="0" distL="114300" distR="114300" simplePos="0" relativeHeight="251665408" behindDoc="0" locked="0" layoutInCell="1" allowOverlap="1">
            <wp:simplePos x="0" y="0"/>
            <wp:positionH relativeFrom="column">
              <wp:posOffset>309880</wp:posOffset>
            </wp:positionH>
            <wp:positionV relativeFrom="paragraph">
              <wp:posOffset>186690</wp:posOffset>
            </wp:positionV>
            <wp:extent cx="4746625" cy="2991485"/>
            <wp:effectExtent l="4445" t="4445" r="11430" b="13970"/>
            <wp:wrapSquare wrapText="bothSides"/>
            <wp:docPr id="19" name="图表 19"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（图5：一般公共预算财政拨款支出决算变动情况）（柱状图）</w:t>
      </w:r>
    </w:p>
    <w:p>
      <w:pPr>
        <w:spacing w:line="600" w:lineRule="exact"/>
        <w:ind w:firstLine="642"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318770</wp:posOffset>
            </wp:positionH>
            <wp:positionV relativeFrom="paragraph">
              <wp:posOffset>1567815</wp:posOffset>
            </wp:positionV>
            <wp:extent cx="4538980" cy="2049145"/>
            <wp:effectExtent l="4445" t="4445" r="9525" b="60960"/>
            <wp:wrapSquare wrapText="bothSides"/>
            <wp:docPr id="20" name="图表 20"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698.94</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_GB2312" w:hAnsi="仿宋_GB2312" w:eastAsia="仿宋_GB2312"/>
          <w:color w:val="000000"/>
          <w:kern w:val="2"/>
          <w:sz w:val="32"/>
          <w:szCs w:val="24"/>
          <w:lang w:val="zh-CN"/>
        </w:rPr>
        <w:t>621.57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_GB2312" w:hAnsi="仿宋_GB2312" w:eastAsia="仿宋_GB2312"/>
          <w:color w:val="000000"/>
          <w:kern w:val="2"/>
          <w:sz w:val="32"/>
          <w:szCs w:val="24"/>
          <w:lang w:val="zh-CN"/>
        </w:rPr>
        <w:t>41.92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_GB2312" w:hAnsi="仿宋_GB2312" w:eastAsia="仿宋_GB2312"/>
          <w:color w:val="000000"/>
          <w:kern w:val="2"/>
          <w:sz w:val="32"/>
          <w:szCs w:val="24"/>
          <w:lang w:val="zh-CN"/>
        </w:rPr>
        <w:t>35.45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5.07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hint="eastAsia" w:ascii="仿宋" w:hAnsi="仿宋" w:eastAsia="仿宋"/>
          <w:b/>
          <w:color w:val="auto"/>
          <w:sz w:val="32"/>
          <w:szCs w:val="32"/>
          <w:highlight w:val="none"/>
        </w:rPr>
      </w:pPr>
    </w:p>
    <w:p>
      <w:pPr>
        <w:spacing w:line="600" w:lineRule="exact"/>
        <w:ind w:firstLine="640"/>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2" w:firstLineChars="200"/>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pPr>
        <w:spacing w:line="600" w:lineRule="exact"/>
        <w:ind w:firstLine="642" w:firstLineChars="200"/>
        <w:outlineLvl w:val="1"/>
        <w:rPr>
          <w:rFonts w:ascii="仿宋" w:hAnsi="仿宋" w:eastAsia="仿宋"/>
          <w:color w:val="auto"/>
          <w:sz w:val="32"/>
          <w:szCs w:val="32"/>
          <w:highlight w:val="none"/>
        </w:rPr>
      </w:pPr>
      <w:bookmarkStart w:id="45" w:name="_Toc15377444"/>
      <w:bookmarkStart w:id="46" w:name="_Toc15377213"/>
      <w:bookmarkStart w:id="47" w:name="_Toc15378460"/>
      <w:bookmarkStart w:id="48" w:name="_Toc25842"/>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698.94</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98.6</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5"/>
      <w:bookmarkEnd w:id="46"/>
      <w:bookmarkEnd w:id="47"/>
      <w:bookmarkEnd w:id="48"/>
    </w:p>
    <w:p>
      <w:pPr>
        <w:spacing w:line="600" w:lineRule="exact"/>
        <w:ind w:firstLine="642" w:firstLineChars="200"/>
        <w:rPr>
          <w:rStyle w:val="14"/>
          <w:rFonts w:hint="eastAsia" w:ascii="仿宋" w:hAnsi="仿宋" w:eastAsia="仿宋"/>
          <w:b w:val="0"/>
          <w:bCs/>
          <w:color w:val="auto"/>
          <w:sz w:val="32"/>
          <w:szCs w:val="32"/>
          <w:highlight w:val="none"/>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机关事业单位养老保险缴费支出</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28.77</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2"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社会保障和就业（类）社会</w:t>
      </w:r>
      <w:r>
        <w:rPr>
          <w:rStyle w:val="14"/>
          <w:rFonts w:hint="eastAsia" w:ascii="仿宋" w:hAnsi="仿宋" w:eastAsia="仿宋"/>
          <w:bCs/>
          <w:color w:val="auto"/>
          <w:sz w:val="32"/>
          <w:szCs w:val="32"/>
          <w:highlight w:val="none"/>
          <w:lang w:eastAsia="zh-CN"/>
        </w:rPr>
        <w:t>福利</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儿童福利</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561.17</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98.26</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w:t>
      </w:r>
      <w:r>
        <w:rPr>
          <w:rStyle w:val="14"/>
          <w:rFonts w:hint="eastAsia" w:ascii="仿宋" w:hAnsi="仿宋" w:eastAsia="仿宋"/>
          <w:b w:val="0"/>
          <w:bCs/>
          <w:color w:val="auto"/>
          <w:sz w:val="32"/>
          <w:szCs w:val="32"/>
          <w:highlight w:val="none"/>
          <w:lang w:eastAsia="zh-CN"/>
        </w:rPr>
        <w:t>小于</w:t>
      </w:r>
      <w:r>
        <w:rPr>
          <w:rStyle w:val="14"/>
          <w:rFonts w:hint="eastAsia" w:ascii="仿宋" w:hAnsi="仿宋" w:eastAsia="仿宋"/>
          <w:b w:val="0"/>
          <w:bCs/>
          <w:color w:val="auto"/>
          <w:sz w:val="32"/>
          <w:szCs w:val="32"/>
          <w:highlight w:val="none"/>
        </w:rPr>
        <w:t>预算数的主要原因是</w:t>
      </w:r>
      <w:r>
        <w:rPr>
          <w:rStyle w:val="14"/>
          <w:rFonts w:hint="eastAsia" w:ascii="仿宋" w:hAnsi="仿宋" w:eastAsia="仿宋"/>
          <w:b w:val="0"/>
          <w:bCs/>
          <w:color w:val="auto"/>
          <w:sz w:val="32"/>
          <w:szCs w:val="32"/>
          <w:highlight w:val="none"/>
          <w:lang w:eastAsia="zh-CN"/>
        </w:rPr>
        <w:t>年终补交保险与收缴中心对接不全面，导致时间差，延缓至下一年</w:t>
      </w:r>
      <w:r>
        <w:rPr>
          <w:rStyle w:val="14"/>
          <w:rFonts w:hint="eastAsia" w:ascii="仿宋" w:hAnsi="仿宋" w:eastAsia="仿宋"/>
          <w:b w:val="0"/>
          <w:bCs/>
          <w:color w:val="auto"/>
          <w:sz w:val="32"/>
          <w:szCs w:val="32"/>
          <w:highlight w:val="none"/>
        </w:rPr>
        <w:t>。</w:t>
      </w:r>
    </w:p>
    <w:p>
      <w:pPr>
        <w:spacing w:line="600" w:lineRule="exact"/>
        <w:ind w:firstLine="642"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社会福利</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其他社会福利支出</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2.33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pStyle w:val="2"/>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其他社会保障和就业支出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其他社会保障和就业支出</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29.3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行政事业单位医疗</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事业单位医疗</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15.19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6</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医疗救助</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城乡医疗救助</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26.73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ind w:firstLine="642"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lang w:eastAsia="zh-CN"/>
        </w:rPr>
        <w:t>住房保障支出</w:t>
      </w:r>
      <w:r>
        <w:rPr>
          <w:rStyle w:val="14"/>
          <w:rFonts w:hint="eastAsia" w:ascii="仿宋" w:hAnsi="仿宋" w:eastAsia="仿宋"/>
          <w:bCs/>
          <w:color w:val="auto"/>
          <w:sz w:val="32"/>
          <w:szCs w:val="32"/>
          <w:highlight w:val="none"/>
        </w:rPr>
        <w:t>（类）</w:t>
      </w:r>
      <w:r>
        <w:rPr>
          <w:rFonts w:hint="eastAsia" w:ascii="仿宋" w:hAnsi="仿宋" w:eastAsia="仿宋"/>
          <w:b/>
          <w:bCs/>
          <w:color w:val="auto"/>
          <w:sz w:val="32"/>
          <w:szCs w:val="32"/>
          <w:highlight w:val="none"/>
          <w:lang w:eastAsia="zh-CN"/>
        </w:rPr>
        <w:t>住房改革支出</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住房公积金</w:t>
      </w:r>
      <w:r>
        <w:rPr>
          <w:rStyle w:val="14"/>
          <w:rFonts w:hint="eastAsia" w:ascii="仿宋" w:hAnsi="仿宋" w:eastAsia="仿宋"/>
          <w:bCs/>
          <w:color w:val="auto"/>
          <w:sz w:val="32"/>
          <w:szCs w:val="32"/>
          <w:highlight w:val="none"/>
        </w:rPr>
        <w:t>（项）</w:t>
      </w:r>
      <w:r>
        <w:rPr>
          <w:rStyle w:val="14"/>
          <w:rFonts w:hint="eastAsia" w:ascii="仿宋" w:hAnsi="仿宋" w:eastAsia="仿宋"/>
          <w:bCs/>
          <w:color w:val="auto"/>
          <w:sz w:val="32"/>
          <w:szCs w:val="32"/>
          <w:highlight w:val="none"/>
          <w:lang w:eastAsia="zh-CN"/>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35.45</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p>
    <w:p>
      <w:pPr>
        <w:spacing w:line="600" w:lineRule="exact"/>
        <w:rPr>
          <w:rFonts w:ascii="仿宋" w:hAnsi="仿宋" w:eastAsia="仿宋"/>
          <w:b/>
          <w:color w:val="auto"/>
          <w:sz w:val="32"/>
          <w:szCs w:val="32"/>
          <w:highlight w:val="none"/>
        </w:rPr>
      </w:pPr>
    </w:p>
    <w:p>
      <w:pPr>
        <w:tabs>
          <w:tab w:val="right" w:pos="8306"/>
        </w:tabs>
        <w:spacing w:line="600" w:lineRule="exact"/>
        <w:ind w:firstLine="640"/>
        <w:outlineLvl w:val="1"/>
        <w:rPr>
          <w:rStyle w:val="17"/>
          <w:color w:val="auto"/>
          <w:highlight w:val="none"/>
        </w:rPr>
      </w:pPr>
      <w:bookmarkStart w:id="49" w:name="_Toc15396608"/>
      <w:bookmarkStart w:id="50" w:name="_Toc15333"/>
      <w:bookmarkStart w:id="51"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49"/>
      <w:bookmarkEnd w:id="50"/>
      <w:bookmarkEnd w:id="51"/>
      <w:r>
        <w:rPr>
          <w:rStyle w:val="1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_GB2312" w:hAnsi="仿宋_GB2312" w:eastAsia="仿宋_GB2312"/>
          <w:color w:val="000000"/>
          <w:kern w:val="2"/>
          <w:sz w:val="32"/>
          <w:szCs w:val="24"/>
          <w:lang w:val="zh-CN"/>
        </w:rPr>
        <w:t>499.3</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463.87</w:t>
      </w:r>
      <w:r>
        <w:rPr>
          <w:rFonts w:hint="eastAsia" w:ascii="仿宋" w:hAnsi="仿宋" w:eastAsia="仿宋"/>
          <w:color w:val="auto"/>
          <w:sz w:val="32"/>
          <w:szCs w:val="32"/>
          <w:highlight w:val="none"/>
        </w:rPr>
        <w:t>万元，主要包括：基本工资、津贴补贴、奖金、绩效工资、机关事业单位基本养老保险缴费、职工基本医疗保险缴费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、生活补助、其他对个人和家庭的补助</w:t>
      </w:r>
      <w:r>
        <w:rPr>
          <w:rFonts w:hint="eastAsia" w:ascii="仿宋" w:hAnsi="仿宋" w:eastAsia="仿宋"/>
          <w:color w:val="auto"/>
          <w:sz w:val="32"/>
          <w:szCs w:val="32"/>
          <w:highlight w:val="none"/>
        </w:rPr>
        <w:t>。</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35.43</w:t>
      </w:r>
      <w:r>
        <w:rPr>
          <w:rFonts w:hint="eastAsia" w:ascii="仿宋" w:hAnsi="仿宋" w:eastAsia="仿宋"/>
          <w:color w:val="auto"/>
          <w:sz w:val="32"/>
          <w:szCs w:val="32"/>
          <w:highlight w:val="none"/>
        </w:rPr>
        <w:t>万元，主要包括：办公费、咨询费、手续费、电费、邮电费、物业管理费、差旅费、维修（护）费、培训费、劳务费、工会经费、福利费、公务用车运行维护费、其他商品和服务支出。</w:t>
      </w:r>
    </w:p>
    <w:p>
      <w:pPr>
        <w:spacing w:line="600" w:lineRule="exact"/>
        <w:ind w:firstLine="640"/>
        <w:outlineLvl w:val="1"/>
        <w:rPr>
          <w:rStyle w:val="17"/>
          <w:rFonts w:ascii="黑体" w:hAnsi="黑体" w:eastAsia="黑体"/>
          <w:b w:val="0"/>
          <w:color w:val="auto"/>
          <w:highlight w:val="none"/>
        </w:rPr>
      </w:pPr>
      <w:bookmarkStart w:id="52" w:name="_Toc14856"/>
      <w:bookmarkStart w:id="53" w:name="_Toc15396609"/>
      <w:bookmarkStart w:id="54" w:name="_Toc15377215"/>
      <w:r>
        <w:rPr>
          <w:rFonts w:hint="eastAsia" w:ascii="黑体" w:eastAsia="黑体"/>
          <w:color w:val="auto"/>
          <w:sz w:val="32"/>
          <w:szCs w:val="32"/>
          <w:highlight w:val="none"/>
        </w:rPr>
        <w:t>七、</w:t>
      </w:r>
      <w:r>
        <w:rPr>
          <w:rStyle w:val="17"/>
          <w:rFonts w:hint="eastAsia" w:ascii="黑体" w:hAnsi="黑体" w:eastAsia="黑体"/>
          <w:b w:val="0"/>
          <w:color w:val="auto"/>
          <w:highlight w:val="none"/>
        </w:rPr>
        <w:t>财政拨款</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三公”经费支出决算情况说明</w:t>
      </w:r>
      <w:bookmarkEnd w:id="52"/>
      <w:bookmarkEnd w:id="53"/>
      <w:bookmarkEnd w:id="54"/>
    </w:p>
    <w:p>
      <w:pPr>
        <w:spacing w:line="600" w:lineRule="exact"/>
        <w:ind w:firstLine="640"/>
        <w:outlineLvl w:val="2"/>
        <w:rPr>
          <w:rFonts w:ascii="仿宋" w:hAnsi="仿宋" w:eastAsia="仿宋"/>
          <w:b/>
          <w:color w:val="auto"/>
          <w:sz w:val="32"/>
          <w:szCs w:val="32"/>
          <w:highlight w:val="none"/>
        </w:rPr>
      </w:pPr>
      <w:bookmarkStart w:id="55" w:name="_Toc15377216"/>
      <w:r>
        <w:rPr>
          <w:rFonts w:hint="eastAsia" w:ascii="仿宋" w:hAnsi="仿宋" w:eastAsia="仿宋"/>
          <w:b/>
          <w:color w:val="auto"/>
          <w:sz w:val="32"/>
          <w:szCs w:val="32"/>
          <w:highlight w:val="none"/>
        </w:rPr>
        <w:t>（一）“三公”经费财政拨款支出决算总体情况说明</w:t>
      </w:r>
      <w:bookmarkEnd w:id="5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减少6.32万元，下降86.34%。</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56" w:name="_Toc15377217"/>
      <w:r>
        <w:rPr>
          <w:rFonts w:hint="eastAsia" w:ascii="仿宋" w:hAnsi="仿宋" w:eastAsia="仿宋"/>
          <w:b/>
          <w:color w:val="auto"/>
          <w:sz w:val="32"/>
          <w:szCs w:val="32"/>
          <w:highlight w:val="none"/>
        </w:rPr>
        <w:t>（二）“三公”经费财政拨款支出决算具体情况说明</w:t>
      </w:r>
      <w:bookmarkEnd w:id="56"/>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528320</wp:posOffset>
            </wp:positionH>
            <wp:positionV relativeFrom="paragraph">
              <wp:posOffset>205105</wp:posOffset>
            </wp:positionV>
            <wp:extent cx="4126865" cy="2999740"/>
            <wp:effectExtent l="4445" t="4445" r="21590" b="62865"/>
            <wp:wrapSquare wrapText="bothSides"/>
            <wp:docPr id="21" name="图表 2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pPr>
      <w:r>
        <w:rPr>
          <w:rFonts w:hint="eastAsia" w:ascii="仿宋" w:hAnsi="仿宋" w:eastAsia="仿宋"/>
          <w:color w:val="auto"/>
          <w:sz w:val="32"/>
          <w:szCs w:val="32"/>
          <w:highlight w:val="none"/>
        </w:rPr>
        <w:t>（图7：“三公”经费财政拨款支出结构）（饼状图）</w:t>
      </w:r>
    </w:p>
    <w:p>
      <w:pPr>
        <w:spacing w:line="600" w:lineRule="exact"/>
        <w:ind w:firstLine="640"/>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年初未安排预算。因公出国（境）支出决算较</w:t>
      </w:r>
      <w:r>
        <w:rPr>
          <w:rFonts w:hint="eastAsia" w:ascii="仿宋_GB2312" w:eastAsia="仿宋_GB2312"/>
          <w:color w:val="auto"/>
          <w:sz w:val="32"/>
          <w:szCs w:val="32"/>
          <w:highlight w:val="none"/>
          <w:lang w:val="en-US" w:eastAsia="zh-CN"/>
        </w:rPr>
        <w:t>2021年无变化。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85.71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我院</w:t>
      </w:r>
      <w:r>
        <w:rPr>
          <w:rFonts w:hint="eastAsia" w:ascii="仿宋_GB2312" w:eastAsia="仿宋_GB2312"/>
          <w:color w:val="auto"/>
          <w:sz w:val="32"/>
          <w:szCs w:val="32"/>
          <w:highlight w:val="none"/>
          <w:lang w:val="en-US" w:eastAsia="zh-CN"/>
        </w:rPr>
        <w:t>2022年基本在疫情防控，封闭管理，人员不得外出</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b/>
          <w:color w:val="auto"/>
          <w:sz w:val="32"/>
          <w:szCs w:val="32"/>
          <w:highlight w:val="none"/>
          <w:lang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w:t>
      </w:r>
      <w:r>
        <w:rPr>
          <w:rFonts w:hint="eastAsia" w:ascii="仿宋_GB2312" w:eastAsia="仿宋_GB2312"/>
          <w:color w:val="auto"/>
          <w:sz w:val="32"/>
          <w:szCs w:val="32"/>
          <w:highlight w:val="none"/>
          <w:lang w:val="en-US" w:eastAsia="zh-CN"/>
        </w:rPr>
        <w:t>未</w:t>
      </w:r>
      <w:r>
        <w:rPr>
          <w:rFonts w:hint="eastAsia" w:ascii="仿宋_GB2312" w:eastAsia="仿宋_GB2312"/>
          <w:color w:val="auto"/>
          <w:sz w:val="32"/>
          <w:szCs w:val="32"/>
          <w:highlight w:val="none"/>
        </w:rPr>
        <w:t>购置公务用车</w:t>
      </w:r>
      <w:r>
        <w:rPr>
          <w:rFonts w:hint="eastAsia" w:ascii="仿宋_GB2312" w:eastAsia="仿宋_GB2312"/>
          <w:color w:val="auto"/>
          <w:sz w:val="32"/>
          <w:szCs w:val="32"/>
          <w:highlight w:val="none"/>
          <w:lang w:eastAsia="zh-CN"/>
        </w:rPr>
        <w:t>。</w:t>
      </w:r>
    </w:p>
    <w:p>
      <w:pPr>
        <w:spacing w:line="600" w:lineRule="exact"/>
        <w:ind w:firstLine="640"/>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本单位适龄儿童上下学接送，社会代养老人、特困人员、孤儿弃婴就医、出行</w:t>
      </w:r>
      <w:r>
        <w:rPr>
          <w:rFonts w:hint="eastAsia" w:ascii="仿宋_GB2312" w:eastAsia="仿宋_GB2312"/>
          <w:color w:val="auto"/>
          <w:sz w:val="32"/>
          <w:szCs w:val="32"/>
          <w:highlight w:val="none"/>
        </w:rPr>
        <w:t>等所需的公务用车燃料费、维修费、过路过桥费、保险费等支出。</w:t>
      </w:r>
      <w:r>
        <w:rPr>
          <w:rFonts w:hint="eastAsia" w:ascii="仿宋_GB2312" w:eastAsia="仿宋_GB2312"/>
          <w:color w:val="auto"/>
          <w:sz w:val="32"/>
          <w:szCs w:val="32"/>
          <w:highlight w:val="none"/>
          <w:lang w:val="en-US" w:eastAsia="zh-CN"/>
        </w:rPr>
        <w:t>截至2022年12月底，单位共</w:t>
      </w:r>
      <w:r>
        <w:rPr>
          <w:rFonts w:hint="eastAsia" w:ascii="仿宋_GB2312" w:eastAsia="仿宋_GB2312"/>
          <w:color w:val="auto"/>
          <w:sz w:val="32"/>
          <w:szCs w:val="32"/>
          <w:highlight w:val="none"/>
        </w:rPr>
        <w:t>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主要原因为</w:t>
      </w:r>
      <w:r>
        <w:rPr>
          <w:rFonts w:hint="eastAsia" w:ascii="仿宋" w:hAnsi="仿宋" w:eastAsia="仿宋"/>
          <w:color w:val="auto"/>
          <w:sz w:val="32"/>
          <w:szCs w:val="32"/>
          <w:highlight w:val="none"/>
          <w:lang w:val="en-US" w:eastAsia="zh-CN"/>
        </w:rPr>
        <w:t>2020年3月因机构改革新设立广元市儿童福利院，实行两个单位一套人员的配置，由广元市儿童福利院暂时代管广元市社会福利院，两院固定资产交接还未完成，共用3辆公务用车，公务用车运行维护费支出由儿童福利院公用经费承担。</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0.32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我院</w:t>
      </w:r>
      <w:r>
        <w:rPr>
          <w:rFonts w:hint="eastAsia" w:ascii="仿宋_GB2312" w:eastAsia="仿宋_GB2312"/>
          <w:color w:val="auto"/>
          <w:sz w:val="32"/>
          <w:szCs w:val="32"/>
          <w:highlight w:val="none"/>
          <w:lang w:val="en-US" w:eastAsia="zh-CN"/>
        </w:rPr>
        <w:t>2022年基本在疫情防控，封闭管理，院内外人员不得随意进出</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2" w:firstLineChars="200"/>
        <w:rPr>
          <w:rFonts w:hint="eastAsia"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bookmarkStart w:id="57" w:name="_Toc15377218"/>
      <w:bookmarkStart w:id="58" w:name="_Toc15396610"/>
    </w:p>
    <w:p>
      <w:pPr>
        <w:spacing w:line="600" w:lineRule="exact"/>
        <w:ind w:firstLine="640"/>
        <w:outlineLvl w:val="1"/>
        <w:rPr>
          <w:rStyle w:val="17"/>
          <w:rFonts w:ascii="黑体" w:hAnsi="黑体" w:eastAsia="黑体"/>
          <w:color w:val="auto"/>
          <w:highlight w:val="none"/>
        </w:rPr>
      </w:pPr>
      <w:bookmarkStart w:id="59" w:name="_Toc25946"/>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57"/>
      <w:bookmarkEnd w:id="58"/>
      <w:bookmarkEnd w:id="59"/>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32.35</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17"/>
          <w:rFonts w:ascii="黑体" w:hAnsi="黑体" w:eastAsia="黑体"/>
          <w:b w:val="0"/>
          <w:color w:val="auto"/>
          <w:highlight w:val="none"/>
        </w:rPr>
      </w:pPr>
      <w:bookmarkStart w:id="60" w:name="_Toc15396611"/>
      <w:bookmarkStart w:id="61" w:name="_Toc15377219"/>
      <w:bookmarkStart w:id="62" w:name="_Toc9760"/>
      <w:r>
        <w:rPr>
          <w:rStyle w:val="17"/>
          <w:rFonts w:hint="eastAsia" w:ascii="黑体" w:hAnsi="黑体" w:eastAsia="黑体"/>
          <w:b w:val="0"/>
          <w:color w:val="auto"/>
          <w:highlight w:val="none"/>
        </w:rPr>
        <w:t>国有资本经营预算支出决算情况说明</w:t>
      </w:r>
      <w:bookmarkEnd w:id="60"/>
      <w:bookmarkEnd w:id="61"/>
      <w:bookmarkEnd w:id="62"/>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17"/>
          <w:rFonts w:hint="eastAsia" w:ascii="黑体" w:hAnsi="黑体" w:eastAsia="黑体"/>
          <w:b w:val="0"/>
          <w:color w:val="auto"/>
          <w:highlight w:val="none"/>
        </w:rPr>
      </w:pPr>
      <w:bookmarkStart w:id="63" w:name="_Toc15377221"/>
      <w:bookmarkStart w:id="64" w:name="_Toc16334"/>
      <w:bookmarkStart w:id="65" w:name="_Toc15396612"/>
      <w:r>
        <w:rPr>
          <w:rStyle w:val="17"/>
          <w:rFonts w:hint="eastAsia" w:ascii="黑体" w:hAnsi="黑体" w:eastAsia="黑体"/>
          <w:b w:val="0"/>
          <w:color w:val="auto"/>
          <w:highlight w:val="none"/>
        </w:rPr>
        <w:t>其他重要事项的情况说明</w:t>
      </w:r>
      <w:bookmarkEnd w:id="63"/>
      <w:bookmarkEnd w:id="64"/>
      <w:bookmarkEnd w:id="65"/>
    </w:p>
    <w:p>
      <w:pPr>
        <w:spacing w:line="600" w:lineRule="exact"/>
        <w:ind w:firstLine="642" w:firstLineChars="200"/>
        <w:outlineLvl w:val="2"/>
        <w:rPr>
          <w:rFonts w:ascii="仿宋" w:hAnsi="仿宋" w:eastAsia="仿宋"/>
          <w:color w:val="auto"/>
          <w:sz w:val="32"/>
          <w:szCs w:val="32"/>
          <w:highlight w:val="none"/>
        </w:rPr>
      </w:pPr>
      <w:bookmarkStart w:id="66" w:name="_Toc15377222"/>
      <w:r>
        <w:rPr>
          <w:rFonts w:hint="eastAsia" w:ascii="仿宋" w:hAnsi="仿宋" w:eastAsia="仿宋"/>
          <w:b/>
          <w:color w:val="auto"/>
          <w:sz w:val="32"/>
          <w:szCs w:val="32"/>
          <w:highlight w:val="none"/>
        </w:rPr>
        <w:t>（一）机关运行经费支出情况</w:t>
      </w:r>
      <w:bookmarkEnd w:id="66"/>
    </w:p>
    <w:p>
      <w:pPr>
        <w:spacing w:line="600" w:lineRule="exact"/>
        <w:ind w:firstLine="640" w:firstLineChars="200"/>
        <w:rPr>
          <w:rFonts w:hint="eastAsia"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未发生机关运行经费支出，与</w:t>
      </w:r>
      <w:r>
        <w:rPr>
          <w:rFonts w:hint="eastAsia" w:ascii="仿宋_GB2312" w:eastAsia="仿宋_GB2312"/>
          <w:color w:val="auto"/>
          <w:sz w:val="32"/>
          <w:szCs w:val="32"/>
          <w:highlight w:val="none"/>
          <w:lang w:val="en-US" w:eastAsia="zh-CN"/>
        </w:rPr>
        <w:t>2021年决算数持平。</w:t>
      </w:r>
      <w:bookmarkStart w:id="67" w:name="_Toc15377223"/>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广元市儿童福利院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9"/>
        <w:rPr>
          <w:rFonts w:hint="eastAsia" w:ascii="仿宋" w:hAnsi="仿宋" w:eastAsia="仿宋"/>
          <w:b/>
          <w:color w:val="auto"/>
          <w:sz w:val="32"/>
          <w:szCs w:val="32"/>
          <w:highlight w:val="none"/>
        </w:rPr>
      </w:pPr>
      <w:bookmarkStart w:id="68" w:name="_Toc15377224"/>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68"/>
    </w:p>
    <w:p>
      <w:pPr>
        <w:autoSpaceDE w:val="0"/>
        <w:autoSpaceDN w:val="0"/>
        <w:adjustRightInd w:val="0"/>
        <w:spacing w:line="600" w:lineRule="exact"/>
        <w:ind w:firstLine="640" w:firstLineChars="200"/>
        <w:jc w:val="left"/>
        <w:rPr>
          <w:rFonts w:hint="eastAsia"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广元市儿童福利院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2"/>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聘用人员工资</w:t>
      </w:r>
      <w:r>
        <w:rPr>
          <w:rFonts w:hint="eastAsia" w:ascii="仿宋_GB2312" w:hAnsi="仿宋_GB2312" w:eastAsia="仿宋_GB2312" w:cs="仿宋_GB2312"/>
          <w:color w:val="auto"/>
          <w:sz w:val="32"/>
          <w:szCs w:val="32"/>
          <w:highlight w:val="none"/>
        </w:rPr>
        <w:t>项目等</w:t>
      </w:r>
      <w:r>
        <w:rPr>
          <w:rFonts w:hint="eastAsia" w:hAnsi="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16"/>
          <w:rFonts w:ascii="黑体" w:hAnsi="黑体" w:eastAsia="黑体"/>
          <w:b w:val="0"/>
          <w:color w:val="auto"/>
          <w:highlight w:val="none"/>
        </w:rPr>
      </w:pPr>
      <w:bookmarkStart w:id="69" w:name="_Toc15377225"/>
      <w:bookmarkStart w:id="70" w:name="_Toc15396613"/>
      <w:bookmarkStart w:id="71" w:name="_Toc12857"/>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69"/>
      <w:bookmarkEnd w:id="70"/>
      <w:bookmarkEnd w:id="71"/>
    </w:p>
    <w:p>
      <w:pPr>
        <w:spacing w:line="600" w:lineRule="exact"/>
        <w:jc w:val="left"/>
        <w:rPr>
          <w:rFonts w:ascii="宋体"/>
          <w:b/>
          <w:color w:val="auto"/>
          <w:sz w:val="44"/>
          <w:szCs w:val="44"/>
          <w:highlight w:val="none"/>
        </w:rPr>
      </w:pPr>
    </w:p>
    <w:p>
      <w:pPr>
        <w:pStyle w:val="25"/>
        <w:numPr>
          <w:ilvl w:val="0"/>
          <w:numId w:val="5"/>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财政拨款收入：指单位从同级财政部门取得的财政预算资金。</w:t>
      </w:r>
    </w:p>
    <w:p>
      <w:pPr>
        <w:pStyle w:val="25"/>
        <w:numPr>
          <w:ilvl w:val="0"/>
          <w:numId w:val="5"/>
        </w:numPr>
        <w:spacing w:line="560" w:lineRule="exact"/>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p>
    <w:p>
      <w:pPr>
        <w:pStyle w:val="25"/>
        <w:numPr>
          <w:ilvl w:val="0"/>
          <w:numId w:val="5"/>
        </w:numPr>
        <w:spacing w:line="560" w:lineRule="exact"/>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年初结转和结余：指以前年度尚未完成、结转到本年按有关规定继续使用的资金。</w:t>
      </w:r>
    </w:p>
    <w:p>
      <w:pPr>
        <w:pStyle w:val="25"/>
        <w:numPr>
          <w:ilvl w:val="0"/>
          <w:numId w:val="5"/>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pPr>
        <w:numPr>
          <w:ilvl w:val="0"/>
          <w:numId w:val="5"/>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社会保障和就业（类）</w:t>
      </w:r>
      <w:r>
        <w:rPr>
          <w:rFonts w:hint="eastAsia" w:ascii="仿宋_GB2312" w:hAnsi="Times New Roman" w:eastAsia="仿宋_GB2312" w:cs="Times New Roman"/>
          <w:color w:val="auto"/>
          <w:sz w:val="32"/>
          <w:szCs w:val="32"/>
          <w:highlight w:val="none"/>
          <w:lang w:eastAsia="zh-CN"/>
        </w:rPr>
        <w:t>行政事业单位养老支出</w:t>
      </w:r>
      <w:r>
        <w:rPr>
          <w:rFonts w:hint="eastAsia" w:ascii="仿宋_GB2312" w:hAnsi="Times New Roman" w:eastAsia="仿宋_GB2312" w:cs="Times New Roman"/>
          <w:color w:val="auto"/>
          <w:sz w:val="32"/>
          <w:szCs w:val="32"/>
          <w:highlight w:val="none"/>
        </w:rPr>
        <w:t>（款）</w:t>
      </w:r>
      <w:r>
        <w:rPr>
          <w:rFonts w:hint="eastAsia" w:ascii="仿宋_GB2312" w:hAnsi="Times New Roman" w:eastAsia="仿宋_GB2312" w:cs="Times New Roman"/>
          <w:color w:val="auto"/>
          <w:sz w:val="32"/>
          <w:szCs w:val="32"/>
          <w:highlight w:val="none"/>
          <w:lang w:eastAsia="zh-CN"/>
        </w:rPr>
        <w:t>机关事业单位养老保险缴费支出</w:t>
      </w:r>
      <w:r>
        <w:rPr>
          <w:rFonts w:hint="eastAsia" w:ascii="仿宋_GB2312" w:hAnsi="Times New Roman" w:eastAsia="仿宋_GB2312" w:cs="Times New Roman"/>
          <w:color w:val="auto"/>
          <w:sz w:val="32"/>
          <w:szCs w:val="32"/>
          <w:highlight w:val="none"/>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机关事业单位实施养老保险制度由单位缴纳的基本养老保险费支出</w:t>
      </w:r>
      <w:r>
        <w:rPr>
          <w:rFonts w:hint="eastAsia" w:ascii="仿宋_GB2312" w:eastAsia="仿宋_GB2312"/>
          <w:color w:val="auto"/>
          <w:sz w:val="32"/>
          <w:szCs w:val="32"/>
          <w:highlight w:val="none"/>
        </w:rPr>
        <w:t>。</w:t>
      </w:r>
    </w:p>
    <w:p>
      <w:pPr>
        <w:numPr>
          <w:ilvl w:val="0"/>
          <w:numId w:val="5"/>
        </w:numPr>
        <w:ind w:left="0" w:leftChars="0" w:firstLine="400" w:firstLineChars="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社会保障和就业（类）社会</w:t>
      </w:r>
      <w:r>
        <w:rPr>
          <w:rFonts w:hint="eastAsia" w:ascii="仿宋_GB2312" w:hAnsi="Times New Roman" w:eastAsia="仿宋_GB2312" w:cs="Times New Roman"/>
          <w:color w:val="auto"/>
          <w:sz w:val="32"/>
          <w:szCs w:val="32"/>
          <w:highlight w:val="none"/>
          <w:lang w:eastAsia="zh-CN"/>
        </w:rPr>
        <w:t>福利</w:t>
      </w:r>
      <w:r>
        <w:rPr>
          <w:rFonts w:hint="eastAsia" w:ascii="仿宋_GB2312" w:hAnsi="Times New Roman" w:eastAsia="仿宋_GB2312" w:cs="Times New Roman"/>
          <w:color w:val="auto"/>
          <w:sz w:val="32"/>
          <w:szCs w:val="32"/>
          <w:highlight w:val="none"/>
        </w:rPr>
        <w:t>（款）</w:t>
      </w:r>
      <w:r>
        <w:rPr>
          <w:rFonts w:hint="eastAsia" w:ascii="仿宋_GB2312" w:hAnsi="Times New Roman" w:eastAsia="仿宋_GB2312" w:cs="Times New Roman"/>
          <w:color w:val="auto"/>
          <w:sz w:val="32"/>
          <w:szCs w:val="32"/>
          <w:highlight w:val="none"/>
          <w:lang w:eastAsia="zh-CN"/>
        </w:rPr>
        <w:t>儿童福利</w:t>
      </w:r>
      <w:r>
        <w:rPr>
          <w:rFonts w:hint="eastAsia" w:ascii="仿宋_GB2312" w:hAnsi="Times New Roman" w:eastAsia="仿宋_GB2312" w:cs="Times New Roman"/>
          <w:color w:val="auto"/>
          <w:sz w:val="32"/>
          <w:szCs w:val="32"/>
          <w:highlight w:val="none"/>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对儿童提供福利服务方面的支出</w:t>
      </w:r>
      <w:r>
        <w:rPr>
          <w:rFonts w:hint="eastAsia" w:ascii="仿宋_GB2312" w:eastAsia="仿宋_GB2312"/>
          <w:color w:val="auto"/>
          <w:sz w:val="32"/>
          <w:szCs w:val="32"/>
          <w:highlight w:val="none"/>
        </w:rPr>
        <w:t>。</w:t>
      </w:r>
    </w:p>
    <w:p>
      <w:pPr>
        <w:numPr>
          <w:ilvl w:val="0"/>
          <w:numId w:val="5"/>
        </w:numPr>
        <w:ind w:left="0" w:leftChars="0" w:firstLine="400" w:firstLineChars="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社会保障和就业（类）</w:t>
      </w:r>
      <w:r>
        <w:rPr>
          <w:rFonts w:hint="eastAsia" w:ascii="仿宋_GB2312" w:hAnsi="Times New Roman" w:eastAsia="仿宋_GB2312" w:cs="Times New Roman"/>
          <w:color w:val="auto"/>
          <w:sz w:val="32"/>
          <w:szCs w:val="32"/>
          <w:highlight w:val="none"/>
          <w:lang w:eastAsia="zh-CN"/>
        </w:rPr>
        <w:t>社会福利</w:t>
      </w:r>
      <w:r>
        <w:rPr>
          <w:rFonts w:hint="eastAsia" w:ascii="仿宋_GB2312" w:hAnsi="Times New Roman" w:eastAsia="仿宋_GB2312" w:cs="Times New Roman"/>
          <w:color w:val="auto"/>
          <w:sz w:val="32"/>
          <w:szCs w:val="32"/>
          <w:highlight w:val="none"/>
        </w:rPr>
        <w:t>（款）</w:t>
      </w:r>
      <w:r>
        <w:rPr>
          <w:rFonts w:hint="eastAsia" w:ascii="仿宋_GB2312" w:hAnsi="Times New Roman" w:eastAsia="仿宋_GB2312" w:cs="Times New Roman"/>
          <w:color w:val="auto"/>
          <w:sz w:val="32"/>
          <w:szCs w:val="32"/>
          <w:highlight w:val="none"/>
          <w:lang w:eastAsia="zh-CN"/>
        </w:rPr>
        <w:t>其他社会福利支出</w:t>
      </w:r>
      <w:r>
        <w:rPr>
          <w:rFonts w:hint="eastAsia" w:ascii="仿宋_GB2312" w:hAnsi="Times New Roman" w:eastAsia="仿宋_GB2312" w:cs="Times New Roman"/>
          <w:color w:val="auto"/>
          <w:sz w:val="32"/>
          <w:szCs w:val="32"/>
          <w:highlight w:val="none"/>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其他用于社会福利方面的支出</w:t>
      </w:r>
      <w:r>
        <w:rPr>
          <w:rFonts w:hint="eastAsia" w:ascii="仿宋_GB2312" w:eastAsia="仿宋_GB2312"/>
          <w:color w:val="auto"/>
          <w:sz w:val="32"/>
          <w:szCs w:val="32"/>
          <w:highlight w:val="none"/>
        </w:rPr>
        <w:t>。</w:t>
      </w:r>
    </w:p>
    <w:p>
      <w:pPr>
        <w:numPr>
          <w:ilvl w:val="0"/>
          <w:numId w:val="5"/>
        </w:numPr>
        <w:ind w:left="0" w:leftChars="0" w:firstLine="400" w:firstLineChars="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社会保障和就业（类）</w:t>
      </w:r>
      <w:r>
        <w:rPr>
          <w:rFonts w:hint="eastAsia" w:ascii="仿宋_GB2312" w:hAnsi="Times New Roman" w:eastAsia="仿宋_GB2312" w:cs="Times New Roman"/>
          <w:color w:val="auto"/>
          <w:sz w:val="32"/>
          <w:szCs w:val="32"/>
          <w:highlight w:val="none"/>
          <w:lang w:eastAsia="zh-CN"/>
        </w:rPr>
        <w:t>其他社会保障和就业支出</w:t>
      </w:r>
      <w:r>
        <w:rPr>
          <w:rFonts w:hint="eastAsia" w:ascii="仿宋_GB2312" w:hAnsi="Times New Roman" w:eastAsia="仿宋_GB2312" w:cs="Times New Roman"/>
          <w:color w:val="auto"/>
          <w:sz w:val="32"/>
          <w:szCs w:val="32"/>
          <w:highlight w:val="none"/>
        </w:rPr>
        <w:t>（款）</w:t>
      </w:r>
      <w:r>
        <w:rPr>
          <w:rFonts w:hint="eastAsia" w:ascii="仿宋_GB2312" w:hAnsi="Times New Roman" w:eastAsia="仿宋_GB2312" w:cs="Times New Roman"/>
          <w:color w:val="auto"/>
          <w:sz w:val="32"/>
          <w:szCs w:val="32"/>
          <w:highlight w:val="none"/>
          <w:lang w:eastAsia="zh-CN"/>
        </w:rPr>
        <w:t>其他社会保障和就业支出</w:t>
      </w:r>
      <w:r>
        <w:rPr>
          <w:rFonts w:hint="eastAsia" w:ascii="仿宋_GB2312" w:hAnsi="Times New Roman" w:eastAsia="仿宋_GB2312" w:cs="Times New Roman"/>
          <w:color w:val="auto"/>
          <w:sz w:val="32"/>
          <w:szCs w:val="32"/>
          <w:highlight w:val="none"/>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其他用于</w:t>
      </w:r>
      <w:r>
        <w:rPr>
          <w:rFonts w:hint="eastAsia" w:ascii="仿宋_GB2312" w:hAnsi="Times New Roman" w:eastAsia="仿宋_GB2312" w:cs="Times New Roman"/>
          <w:color w:val="auto"/>
          <w:sz w:val="32"/>
          <w:szCs w:val="32"/>
          <w:highlight w:val="none"/>
          <w:lang w:eastAsia="zh-CN"/>
        </w:rPr>
        <w:t>社会保障和就业方面的支出</w:t>
      </w:r>
      <w:r>
        <w:rPr>
          <w:rFonts w:hint="eastAsia" w:ascii="仿宋_GB2312" w:eastAsia="仿宋_GB2312"/>
          <w:color w:val="auto"/>
          <w:sz w:val="32"/>
          <w:szCs w:val="32"/>
          <w:highlight w:val="none"/>
        </w:rPr>
        <w:t>。</w:t>
      </w:r>
    </w:p>
    <w:p>
      <w:pPr>
        <w:numPr>
          <w:ilvl w:val="0"/>
          <w:numId w:val="5"/>
        </w:numPr>
        <w:ind w:left="0" w:leftChars="0" w:firstLine="400" w:firstLineChars="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卫生健康</w:t>
      </w:r>
      <w:r>
        <w:rPr>
          <w:rFonts w:hint="eastAsia" w:ascii="仿宋_GB2312" w:hAnsi="Times New Roman" w:eastAsia="仿宋_GB2312" w:cs="Times New Roman"/>
          <w:color w:val="auto"/>
          <w:sz w:val="32"/>
          <w:szCs w:val="32"/>
          <w:highlight w:val="none"/>
          <w:lang w:eastAsia="zh-CN"/>
        </w:rPr>
        <w:t>支出</w:t>
      </w:r>
      <w:r>
        <w:rPr>
          <w:rFonts w:hint="eastAsia" w:ascii="仿宋_GB2312" w:hAnsi="Times New Roman" w:eastAsia="仿宋_GB2312" w:cs="Times New Roman"/>
          <w:color w:val="auto"/>
          <w:sz w:val="32"/>
          <w:szCs w:val="32"/>
          <w:highlight w:val="none"/>
        </w:rPr>
        <w:t>（类）</w:t>
      </w:r>
      <w:r>
        <w:rPr>
          <w:rFonts w:hint="eastAsia" w:ascii="仿宋_GB2312" w:hAnsi="Times New Roman" w:eastAsia="仿宋_GB2312" w:cs="Times New Roman"/>
          <w:color w:val="auto"/>
          <w:sz w:val="32"/>
          <w:szCs w:val="32"/>
          <w:highlight w:val="none"/>
          <w:lang w:eastAsia="zh-CN"/>
        </w:rPr>
        <w:t>行政事业单位医疗</w:t>
      </w:r>
      <w:r>
        <w:rPr>
          <w:rFonts w:hint="eastAsia" w:ascii="仿宋_GB2312" w:hAnsi="Times New Roman" w:eastAsia="仿宋_GB2312" w:cs="Times New Roman"/>
          <w:color w:val="auto"/>
          <w:sz w:val="32"/>
          <w:szCs w:val="32"/>
          <w:highlight w:val="none"/>
        </w:rPr>
        <w:t>（款）</w:t>
      </w:r>
      <w:r>
        <w:rPr>
          <w:rFonts w:hint="eastAsia" w:ascii="仿宋_GB2312" w:hAnsi="Times New Roman" w:eastAsia="仿宋_GB2312" w:cs="Times New Roman"/>
          <w:color w:val="auto"/>
          <w:sz w:val="32"/>
          <w:szCs w:val="32"/>
          <w:highlight w:val="none"/>
          <w:lang w:eastAsia="zh-CN"/>
        </w:rPr>
        <w:t>事业单位医疗</w:t>
      </w:r>
      <w:r>
        <w:rPr>
          <w:rFonts w:hint="eastAsia" w:ascii="仿宋_GB2312" w:hAnsi="Times New Roman" w:eastAsia="仿宋_GB2312" w:cs="Times New Roman"/>
          <w:color w:val="auto"/>
          <w:sz w:val="32"/>
          <w:szCs w:val="32"/>
          <w:highlight w:val="none"/>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财政部门安排的事业单位基本医疗保险缴费经费，未参加医疗保险的事业单位的公费医疗经费，按国家规定享受离休人员待遇的医疗经费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rPr>
        <w:t>。</w:t>
      </w:r>
    </w:p>
    <w:p>
      <w:pPr>
        <w:numPr>
          <w:ilvl w:val="0"/>
          <w:numId w:val="5"/>
        </w:numPr>
        <w:ind w:left="0" w:leftChars="0" w:firstLine="400" w:firstLineChars="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卫生健康</w:t>
      </w:r>
      <w:r>
        <w:rPr>
          <w:rFonts w:hint="eastAsia" w:ascii="仿宋_GB2312" w:hAnsi="Times New Roman" w:eastAsia="仿宋_GB2312" w:cs="Times New Roman"/>
          <w:color w:val="auto"/>
          <w:sz w:val="32"/>
          <w:szCs w:val="32"/>
          <w:highlight w:val="none"/>
          <w:lang w:eastAsia="zh-CN"/>
        </w:rPr>
        <w:t>支出</w:t>
      </w:r>
      <w:r>
        <w:rPr>
          <w:rFonts w:hint="eastAsia" w:ascii="仿宋_GB2312" w:hAnsi="Times New Roman" w:eastAsia="仿宋_GB2312" w:cs="Times New Roman"/>
          <w:color w:val="auto"/>
          <w:sz w:val="32"/>
          <w:szCs w:val="32"/>
          <w:highlight w:val="none"/>
        </w:rPr>
        <w:t>（类）</w:t>
      </w:r>
      <w:r>
        <w:rPr>
          <w:rFonts w:hint="eastAsia" w:ascii="仿宋_GB2312" w:hAnsi="Times New Roman" w:eastAsia="仿宋_GB2312" w:cs="Times New Roman"/>
          <w:color w:val="auto"/>
          <w:sz w:val="32"/>
          <w:szCs w:val="32"/>
          <w:highlight w:val="none"/>
          <w:lang w:eastAsia="zh-CN"/>
        </w:rPr>
        <w:t>医疗救助</w:t>
      </w:r>
      <w:r>
        <w:rPr>
          <w:rFonts w:hint="eastAsia" w:ascii="仿宋_GB2312" w:hAnsi="Times New Roman" w:eastAsia="仿宋_GB2312" w:cs="Times New Roman"/>
          <w:color w:val="auto"/>
          <w:sz w:val="32"/>
          <w:szCs w:val="32"/>
          <w:highlight w:val="none"/>
        </w:rPr>
        <w:t>（款）</w:t>
      </w:r>
      <w:r>
        <w:rPr>
          <w:rFonts w:hint="eastAsia" w:ascii="仿宋_GB2312" w:hAnsi="Times New Roman" w:eastAsia="仿宋_GB2312" w:cs="Times New Roman"/>
          <w:color w:val="auto"/>
          <w:sz w:val="32"/>
          <w:szCs w:val="32"/>
          <w:highlight w:val="none"/>
          <w:lang w:eastAsia="zh-CN"/>
        </w:rPr>
        <w:t>城乡医疗救助</w:t>
      </w:r>
      <w:r>
        <w:rPr>
          <w:rFonts w:hint="eastAsia" w:ascii="仿宋_GB2312" w:hAnsi="Times New Roman" w:eastAsia="仿宋_GB2312" w:cs="Times New Roman"/>
          <w:color w:val="auto"/>
          <w:sz w:val="32"/>
          <w:szCs w:val="32"/>
          <w:highlight w:val="none"/>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财政用于城乡困难群众医疗救助的支出</w:t>
      </w:r>
      <w:r>
        <w:rPr>
          <w:rFonts w:hint="eastAsia" w:ascii="仿宋_GB2312" w:eastAsia="仿宋_GB2312"/>
          <w:color w:val="auto"/>
          <w:sz w:val="32"/>
          <w:szCs w:val="32"/>
          <w:highlight w:val="none"/>
        </w:rPr>
        <w:t>。</w:t>
      </w:r>
    </w:p>
    <w:p>
      <w:pPr>
        <w:numPr>
          <w:ilvl w:val="0"/>
          <w:numId w:val="5"/>
        </w:numPr>
        <w:ind w:left="0" w:leftChars="0" w:firstLine="400" w:firstLineChars="0"/>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eastAsia="zh-CN"/>
        </w:rPr>
        <w:t>住房保障支出</w:t>
      </w:r>
      <w:r>
        <w:rPr>
          <w:rFonts w:hint="eastAsia" w:ascii="仿宋_GB2312" w:hAnsi="Times New Roman" w:eastAsia="仿宋_GB2312" w:cs="Times New Roman"/>
          <w:color w:val="auto"/>
          <w:sz w:val="32"/>
          <w:szCs w:val="32"/>
          <w:highlight w:val="none"/>
        </w:rPr>
        <w:t>（类）</w:t>
      </w:r>
      <w:r>
        <w:rPr>
          <w:rFonts w:hint="eastAsia" w:ascii="仿宋_GB2312" w:hAnsi="Times New Roman" w:eastAsia="仿宋_GB2312" w:cs="Times New Roman"/>
          <w:color w:val="auto"/>
          <w:sz w:val="32"/>
          <w:szCs w:val="32"/>
          <w:highlight w:val="none"/>
          <w:lang w:eastAsia="zh-CN"/>
        </w:rPr>
        <w:t>住房改革支出</w:t>
      </w:r>
      <w:r>
        <w:rPr>
          <w:rFonts w:hint="eastAsia" w:ascii="仿宋_GB2312" w:hAnsi="Times New Roman" w:eastAsia="仿宋_GB2312" w:cs="Times New Roman"/>
          <w:color w:val="auto"/>
          <w:sz w:val="32"/>
          <w:szCs w:val="32"/>
          <w:highlight w:val="none"/>
        </w:rPr>
        <w:t>（款）</w:t>
      </w:r>
      <w:r>
        <w:rPr>
          <w:rFonts w:hint="eastAsia" w:ascii="仿宋_GB2312" w:hAnsi="Times New Roman" w:eastAsia="仿宋_GB2312" w:cs="Times New Roman"/>
          <w:color w:val="auto"/>
          <w:sz w:val="32"/>
          <w:szCs w:val="32"/>
          <w:highlight w:val="none"/>
          <w:lang w:eastAsia="zh-CN"/>
        </w:rPr>
        <w:t>住房公积金</w:t>
      </w:r>
      <w:r>
        <w:rPr>
          <w:rFonts w:hint="eastAsia" w:ascii="仿宋_GB2312" w:hAnsi="Times New Roman" w:eastAsia="仿宋_GB2312" w:cs="Times New Roman"/>
          <w:color w:val="auto"/>
          <w:sz w:val="32"/>
          <w:szCs w:val="32"/>
          <w:highlight w:val="none"/>
        </w:rPr>
        <w:t>（项）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行政事业单位按人力资源和社会保障部、财政部规定的基本工资和津补贴以及规定比例为职工缴纳的住房公积金</w:t>
      </w:r>
      <w:r>
        <w:rPr>
          <w:rFonts w:hint="eastAsia" w:ascii="仿宋_GB2312" w:eastAsia="仿宋_GB2312"/>
          <w:color w:val="auto"/>
          <w:sz w:val="32"/>
          <w:szCs w:val="32"/>
          <w:highlight w:val="none"/>
        </w:rPr>
        <w:t>。</w:t>
      </w:r>
    </w:p>
    <w:p>
      <w:pPr>
        <w:numPr>
          <w:ilvl w:val="0"/>
          <w:numId w:val="5"/>
        </w:numPr>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其他支出（类）彩票公益金安排的支出（款）用于社会福利的彩票公益金支出（项）：反映用于社会福利的彩票公益金支出。</w:t>
      </w:r>
    </w:p>
    <w:p>
      <w:pPr>
        <w:numPr>
          <w:ilvl w:val="0"/>
          <w:numId w:val="5"/>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5"/>
        </w:numPr>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项目支出：指在基本支出之外为完成特定行政任务和事业发展目标所发生的支出。</w:t>
      </w:r>
    </w:p>
    <w:p>
      <w:pPr>
        <w:pStyle w:val="25"/>
        <w:numPr>
          <w:ilvl w:val="0"/>
          <w:numId w:val="5"/>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16"/>
          <w:rFonts w:ascii="黑体" w:hAnsi="黑体" w:eastAsia="黑体"/>
          <w:b w:val="0"/>
          <w:color w:val="auto"/>
          <w:highlight w:val="none"/>
        </w:rPr>
      </w:pPr>
      <w:bookmarkStart w:id="72" w:name="_Toc15377226"/>
      <w:r>
        <w:rPr>
          <w:rFonts w:ascii="宋体"/>
          <w:b/>
          <w:color w:val="auto"/>
          <w:sz w:val="44"/>
          <w:szCs w:val="44"/>
          <w:highlight w:val="none"/>
        </w:rPr>
        <w:br w:type="page"/>
      </w:r>
      <w:bookmarkStart w:id="73" w:name="_Toc25158"/>
      <w:bookmarkStart w:id="74" w:name="_Toc15396614"/>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w:t>
      </w:r>
      <w:r>
        <w:rPr>
          <w:rStyle w:val="16"/>
          <w:rFonts w:hint="eastAsia" w:ascii="黑体" w:hAnsi="黑体" w:eastAsia="黑体"/>
          <w:b w:val="0"/>
          <w:color w:val="auto"/>
          <w:highlight w:val="none"/>
          <w:lang w:val="en-US" w:eastAsia="zh-CN"/>
        </w:rPr>
        <w:t xml:space="preserve"> </w:t>
      </w:r>
      <w:bookmarkStart w:id="104" w:name="_GoBack"/>
      <w:bookmarkEnd w:id="104"/>
      <w:r>
        <w:rPr>
          <w:rStyle w:val="16"/>
          <w:rFonts w:hint="eastAsia" w:ascii="黑体" w:hAnsi="黑体" w:eastAsia="黑体"/>
          <w:b w:val="0"/>
          <w:color w:val="auto"/>
          <w:highlight w:val="none"/>
        </w:rPr>
        <w:t>附件</w:t>
      </w:r>
      <w:bookmarkEnd w:id="73"/>
      <w:bookmarkEnd w:id="74"/>
    </w:p>
    <w:p>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p>
      <w:pPr>
        <w:spacing w:line="600" w:lineRule="exact"/>
        <w:jc w:val="center"/>
        <w:outlineLvl w:val="1"/>
        <w:rPr>
          <w:rFonts w:hint="eastAsia" w:ascii="宋体" w:hAnsi="宋体" w:eastAsia="宋体" w:cs="宋体"/>
          <w:color w:val="auto"/>
          <w:kern w:val="0"/>
          <w:sz w:val="32"/>
          <w:szCs w:val="32"/>
          <w:highlight w:val="none"/>
          <w:lang w:val="en-US" w:eastAsia="zh-CN" w:bidi="ar-SA"/>
        </w:rPr>
      </w:pPr>
      <w:bookmarkStart w:id="75" w:name="_Toc11041"/>
      <w:bookmarkStart w:id="76" w:name="_Toc15396618"/>
      <w:r>
        <w:rPr>
          <w:rFonts w:hint="eastAsia" w:ascii="宋体" w:hAnsi="宋体" w:eastAsia="宋体" w:cs="宋体"/>
          <w:color w:val="auto"/>
          <w:kern w:val="0"/>
          <w:sz w:val="32"/>
          <w:szCs w:val="32"/>
          <w:highlight w:val="none"/>
          <w:lang w:val="en-US" w:eastAsia="zh-CN" w:bidi="ar-SA"/>
        </w:rPr>
        <w:t>部门预算项目支出绩效自评表（2022年度）</w:t>
      </w:r>
      <w:bookmarkEnd w:id="75"/>
    </w:p>
    <w:p>
      <w:pPr>
        <w:spacing w:line="600" w:lineRule="exact"/>
        <w:jc w:val="left"/>
        <w:outlineLvl w:val="9"/>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spacing w:line="600" w:lineRule="exact"/>
        <w:jc w:val="center"/>
        <w:outlineLvl w:val="0"/>
        <w:rPr>
          <w:rFonts w:hint="eastAsia" w:ascii="仿宋" w:hAnsi="仿宋" w:eastAsia="仿宋"/>
          <w:b w:val="0"/>
          <w:color w:val="auto"/>
          <w:highlight w:val="none"/>
        </w:rPr>
      </w:pPr>
      <w:bookmarkStart w:id="77" w:name="_Toc14520"/>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五部分</w:t>
      </w:r>
      <w:r>
        <w:rPr>
          <w:rStyle w:val="16"/>
          <w:rFonts w:hint="eastAsia" w:ascii="黑体" w:hAnsi="黑体" w:eastAsia="黑体"/>
          <w:b w:val="0"/>
          <w:color w:val="auto"/>
          <w:highlight w:val="none"/>
          <w:lang w:val="en-US" w:eastAsia="zh-CN"/>
        </w:rPr>
        <w:t xml:space="preserve"> </w:t>
      </w:r>
      <w:r>
        <w:rPr>
          <w:rStyle w:val="16"/>
          <w:rFonts w:hint="eastAsia" w:ascii="黑体" w:hAnsi="黑体" w:eastAsia="黑体"/>
          <w:b w:val="0"/>
          <w:color w:val="auto"/>
          <w:highlight w:val="none"/>
        </w:rPr>
        <w:t>附表</w:t>
      </w:r>
      <w:bookmarkEnd w:id="72"/>
      <w:bookmarkEnd w:id="76"/>
      <w:bookmarkEnd w:id="77"/>
      <w:bookmarkStart w:id="78" w:name="_Toc15396619"/>
    </w:p>
    <w:p>
      <w:pPr>
        <w:pStyle w:val="4"/>
        <w:rPr>
          <w:rFonts w:ascii="仿宋" w:hAnsi="仿宋" w:eastAsia="仿宋"/>
          <w:color w:val="auto"/>
          <w:highlight w:val="none"/>
        </w:rPr>
      </w:pPr>
      <w:bookmarkStart w:id="79" w:name="_Toc15855"/>
      <w:r>
        <w:rPr>
          <w:rFonts w:hint="eastAsia" w:ascii="仿宋" w:hAnsi="仿宋" w:eastAsia="仿宋"/>
          <w:b w:val="0"/>
          <w:color w:val="auto"/>
          <w:highlight w:val="none"/>
        </w:rPr>
        <w:t>一、收</w:t>
      </w:r>
      <w:r>
        <w:rPr>
          <w:rStyle w:val="17"/>
          <w:rFonts w:hint="eastAsia" w:ascii="仿宋" w:hAnsi="仿宋" w:eastAsia="仿宋"/>
          <w:b w:val="0"/>
          <w:bCs w:val="0"/>
          <w:color w:val="auto"/>
          <w:highlight w:val="none"/>
        </w:rPr>
        <w:t>入支出决算总表</w:t>
      </w:r>
      <w:bookmarkEnd w:id="78"/>
      <w:bookmarkEnd w:id="79"/>
    </w:p>
    <w:p>
      <w:pPr>
        <w:pStyle w:val="4"/>
        <w:rPr>
          <w:rFonts w:ascii="仿宋" w:hAnsi="仿宋" w:eastAsia="仿宋"/>
          <w:color w:val="auto"/>
          <w:highlight w:val="none"/>
        </w:rPr>
      </w:pPr>
      <w:bookmarkStart w:id="80" w:name="_Toc12550"/>
      <w:bookmarkStart w:id="81" w:name="_Toc15396620"/>
      <w:r>
        <w:rPr>
          <w:rFonts w:hint="eastAsia" w:ascii="仿宋" w:hAnsi="仿宋" w:eastAsia="仿宋"/>
          <w:b w:val="0"/>
          <w:color w:val="auto"/>
          <w:highlight w:val="none"/>
        </w:rPr>
        <w:t>二、收</w:t>
      </w:r>
      <w:r>
        <w:rPr>
          <w:rStyle w:val="17"/>
          <w:rFonts w:hint="eastAsia" w:ascii="仿宋" w:hAnsi="仿宋" w:eastAsia="仿宋"/>
          <w:b w:val="0"/>
          <w:bCs w:val="0"/>
          <w:color w:val="auto"/>
          <w:highlight w:val="none"/>
        </w:rPr>
        <w:t>入决算表</w:t>
      </w:r>
      <w:bookmarkEnd w:id="80"/>
      <w:bookmarkEnd w:id="81"/>
    </w:p>
    <w:p>
      <w:pPr>
        <w:pStyle w:val="4"/>
        <w:rPr>
          <w:rFonts w:ascii="仿宋" w:hAnsi="仿宋" w:eastAsia="仿宋"/>
          <w:color w:val="auto"/>
          <w:highlight w:val="none"/>
        </w:rPr>
      </w:pPr>
      <w:bookmarkStart w:id="82" w:name="_Toc27001"/>
      <w:bookmarkStart w:id="83" w:name="_Toc15396621"/>
      <w:r>
        <w:rPr>
          <w:rStyle w:val="1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7"/>
          <w:rFonts w:hint="eastAsia" w:ascii="仿宋" w:hAnsi="仿宋" w:eastAsia="仿宋"/>
          <w:b w:val="0"/>
          <w:bCs w:val="0"/>
          <w:color w:val="auto"/>
          <w:highlight w:val="none"/>
        </w:rPr>
        <w:t>出决算表</w:t>
      </w:r>
      <w:bookmarkEnd w:id="82"/>
      <w:bookmarkEnd w:id="83"/>
    </w:p>
    <w:p>
      <w:pPr>
        <w:pStyle w:val="4"/>
        <w:rPr>
          <w:rFonts w:ascii="仿宋" w:hAnsi="仿宋" w:eastAsia="仿宋"/>
          <w:b w:val="0"/>
          <w:color w:val="auto"/>
          <w:highlight w:val="none"/>
        </w:rPr>
      </w:pPr>
      <w:bookmarkStart w:id="84" w:name="_Toc32043"/>
      <w:bookmarkStart w:id="85" w:name="_Toc15396622"/>
      <w:r>
        <w:rPr>
          <w:rStyle w:val="1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政拨款收入支出决算总表</w:t>
      </w:r>
      <w:bookmarkEnd w:id="84"/>
      <w:bookmarkEnd w:id="85"/>
    </w:p>
    <w:p>
      <w:pPr>
        <w:pStyle w:val="4"/>
        <w:rPr>
          <w:rStyle w:val="17"/>
          <w:rFonts w:ascii="仿宋" w:hAnsi="仿宋" w:eastAsia="仿宋"/>
          <w:b w:val="0"/>
          <w:bCs w:val="0"/>
          <w:color w:val="auto"/>
          <w:highlight w:val="none"/>
        </w:rPr>
      </w:pPr>
      <w:bookmarkStart w:id="86" w:name="_Toc29794"/>
      <w:bookmarkStart w:id="87" w:name="_Toc15396623"/>
      <w:r>
        <w:rPr>
          <w:rStyle w:val="1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政拨款支出决算明细表</w:t>
      </w:r>
      <w:bookmarkEnd w:id="86"/>
      <w:bookmarkEnd w:id="87"/>
      <w:bookmarkStart w:id="88" w:name="_Toc15396624"/>
    </w:p>
    <w:p>
      <w:pPr>
        <w:pStyle w:val="4"/>
        <w:rPr>
          <w:rFonts w:ascii="仿宋" w:hAnsi="仿宋" w:eastAsia="仿宋"/>
          <w:color w:val="auto"/>
          <w:highlight w:val="none"/>
        </w:rPr>
      </w:pPr>
      <w:bookmarkStart w:id="89" w:name="_Toc31621"/>
      <w:r>
        <w:rPr>
          <w:rStyle w:val="1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般公共预算财政拨款支出决算表</w:t>
      </w:r>
      <w:bookmarkEnd w:id="88"/>
      <w:bookmarkEnd w:id="89"/>
    </w:p>
    <w:p>
      <w:pPr>
        <w:pStyle w:val="4"/>
        <w:rPr>
          <w:rFonts w:ascii="仿宋" w:hAnsi="仿宋" w:eastAsia="仿宋"/>
          <w:color w:val="auto"/>
          <w:highlight w:val="none"/>
        </w:rPr>
      </w:pPr>
      <w:bookmarkStart w:id="90" w:name="_Toc21683"/>
      <w:bookmarkStart w:id="91" w:name="_Toc15396625"/>
      <w:r>
        <w:rPr>
          <w:rStyle w:val="1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般公共预算财政拨款支出决算明细表</w:t>
      </w:r>
      <w:bookmarkEnd w:id="90"/>
      <w:bookmarkEnd w:id="91"/>
    </w:p>
    <w:p>
      <w:pPr>
        <w:pStyle w:val="4"/>
        <w:rPr>
          <w:rFonts w:ascii="仿宋" w:hAnsi="仿宋" w:eastAsia="仿宋"/>
          <w:color w:val="auto"/>
          <w:highlight w:val="none"/>
        </w:rPr>
      </w:pPr>
      <w:bookmarkStart w:id="92" w:name="_Toc15396626"/>
      <w:bookmarkStart w:id="93" w:name="_Toc7829"/>
      <w:r>
        <w:rPr>
          <w:rStyle w:val="1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般公共预算财政拨款基本支出决算表</w:t>
      </w:r>
      <w:bookmarkEnd w:id="92"/>
      <w:bookmarkEnd w:id="93"/>
    </w:p>
    <w:p>
      <w:pPr>
        <w:pStyle w:val="4"/>
        <w:rPr>
          <w:rFonts w:ascii="仿宋" w:hAnsi="仿宋" w:eastAsia="仿宋"/>
          <w:color w:val="auto"/>
          <w:highlight w:val="none"/>
        </w:rPr>
      </w:pPr>
      <w:bookmarkStart w:id="94" w:name="_Toc15396627"/>
      <w:bookmarkStart w:id="95" w:name="_Toc7452"/>
      <w:r>
        <w:rPr>
          <w:rStyle w:val="1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般公共预算财政拨款项目支出决算表</w:t>
      </w:r>
      <w:bookmarkEnd w:id="94"/>
      <w:bookmarkEnd w:id="95"/>
    </w:p>
    <w:p>
      <w:pPr>
        <w:pStyle w:val="4"/>
        <w:rPr>
          <w:rFonts w:ascii="仿宋" w:hAnsi="仿宋" w:eastAsia="仿宋"/>
          <w:color w:val="auto"/>
          <w:highlight w:val="none"/>
        </w:rPr>
      </w:pPr>
      <w:bookmarkStart w:id="96" w:name="_Toc15396628"/>
      <w:bookmarkStart w:id="97" w:name="_Toc14262"/>
      <w:r>
        <w:rPr>
          <w:rStyle w:val="17"/>
          <w:rFonts w:hint="eastAsia" w:ascii="仿宋" w:hAnsi="仿宋" w:eastAsia="仿宋"/>
          <w:b w:val="0"/>
          <w:bCs w:val="0"/>
          <w:color w:val="auto"/>
          <w:highlight w:val="none"/>
        </w:rPr>
        <w:t>十、</w:t>
      </w:r>
      <w:bookmarkEnd w:id="96"/>
      <w:r>
        <w:rPr>
          <w:rFonts w:hint="eastAsia" w:ascii="仿宋" w:hAnsi="仿宋" w:eastAsia="仿宋"/>
          <w:b w:val="0"/>
          <w:color w:val="auto"/>
          <w:highlight w:val="none"/>
        </w:rPr>
        <w:t>政</w:t>
      </w:r>
      <w:r>
        <w:rPr>
          <w:rStyle w:val="17"/>
          <w:rFonts w:hint="eastAsia" w:ascii="仿宋" w:hAnsi="仿宋" w:eastAsia="仿宋"/>
          <w:b w:val="0"/>
          <w:bCs w:val="0"/>
          <w:color w:val="auto"/>
          <w:highlight w:val="none"/>
        </w:rPr>
        <w:t>府性基金预算财政拨款收入支出决算表</w:t>
      </w:r>
      <w:bookmarkEnd w:id="97"/>
    </w:p>
    <w:p>
      <w:pPr>
        <w:pStyle w:val="4"/>
        <w:rPr>
          <w:rFonts w:ascii="仿宋" w:hAnsi="仿宋" w:eastAsia="仿宋"/>
          <w:color w:val="auto"/>
          <w:highlight w:val="none"/>
        </w:rPr>
      </w:pPr>
      <w:bookmarkStart w:id="98" w:name="_Toc15396629"/>
      <w:bookmarkStart w:id="99" w:name="_Toc25929"/>
      <w:r>
        <w:rPr>
          <w:rStyle w:val="17"/>
          <w:rFonts w:hint="eastAsia" w:ascii="仿宋" w:hAnsi="仿宋" w:eastAsia="仿宋"/>
          <w:b w:val="0"/>
          <w:bCs w:val="0"/>
          <w:color w:val="auto"/>
          <w:highlight w:val="none"/>
        </w:rPr>
        <w:t>十一、</w:t>
      </w:r>
      <w:bookmarkEnd w:id="98"/>
      <w:r>
        <w:rPr>
          <w:rFonts w:hint="eastAsia" w:ascii="仿宋" w:hAnsi="仿宋" w:eastAsia="仿宋"/>
          <w:b w:val="0"/>
          <w:color w:val="auto"/>
          <w:highlight w:val="none"/>
        </w:rPr>
        <w:t>国</w:t>
      </w:r>
      <w:r>
        <w:rPr>
          <w:rStyle w:val="17"/>
          <w:rFonts w:hint="eastAsia" w:ascii="仿宋" w:hAnsi="仿宋" w:eastAsia="仿宋"/>
          <w:b w:val="0"/>
          <w:bCs w:val="0"/>
          <w:color w:val="auto"/>
          <w:highlight w:val="none"/>
        </w:rPr>
        <w:t>有资本经营预算</w:t>
      </w:r>
      <w:r>
        <w:rPr>
          <w:rStyle w:val="17"/>
          <w:rFonts w:hint="eastAsia" w:ascii="仿宋" w:hAnsi="仿宋" w:eastAsia="仿宋"/>
          <w:b w:val="0"/>
          <w:bCs w:val="0"/>
          <w:color w:val="auto"/>
          <w:highlight w:val="none"/>
          <w:lang w:eastAsia="zh-CN"/>
        </w:rPr>
        <w:t>财政拨款收入</w:t>
      </w:r>
      <w:r>
        <w:rPr>
          <w:rStyle w:val="17"/>
          <w:rFonts w:hint="eastAsia" w:ascii="仿宋" w:hAnsi="仿宋" w:eastAsia="仿宋"/>
          <w:b w:val="0"/>
          <w:bCs w:val="0"/>
          <w:color w:val="auto"/>
          <w:highlight w:val="none"/>
        </w:rPr>
        <w:t>支出决算表</w:t>
      </w:r>
      <w:bookmarkEnd w:id="99"/>
    </w:p>
    <w:p>
      <w:pPr>
        <w:pStyle w:val="4"/>
        <w:rPr>
          <w:rFonts w:ascii="仿宋" w:hAnsi="仿宋" w:eastAsia="仿宋"/>
          <w:color w:val="auto"/>
          <w:highlight w:val="none"/>
        </w:rPr>
      </w:pPr>
      <w:bookmarkStart w:id="100" w:name="_Toc15396630"/>
      <w:bookmarkStart w:id="101" w:name="_Toc25754"/>
      <w:r>
        <w:rPr>
          <w:rStyle w:val="17"/>
          <w:rFonts w:hint="eastAsia" w:ascii="仿宋" w:hAnsi="仿宋" w:eastAsia="仿宋"/>
          <w:b w:val="0"/>
          <w:bCs w:val="0"/>
          <w:color w:val="auto"/>
          <w:highlight w:val="none"/>
        </w:rPr>
        <w:t>十二、</w:t>
      </w:r>
      <w:bookmarkEnd w:id="100"/>
      <w:r>
        <w:rPr>
          <w:rStyle w:val="17"/>
          <w:rFonts w:hint="eastAsia" w:ascii="仿宋" w:hAnsi="仿宋" w:eastAsia="仿宋"/>
          <w:b w:val="0"/>
          <w:bCs w:val="0"/>
          <w:color w:val="auto"/>
          <w:highlight w:val="none"/>
          <w:lang w:eastAsia="zh-CN"/>
        </w:rPr>
        <w:t>国有资本经营预算财政拨款支出决算表</w:t>
      </w:r>
      <w:bookmarkEnd w:id="101"/>
    </w:p>
    <w:p>
      <w:pPr>
        <w:pStyle w:val="4"/>
        <w:rPr>
          <w:rFonts w:hint="eastAsia" w:eastAsia="仿宋"/>
          <w:color w:val="auto"/>
          <w:highlight w:val="none"/>
          <w:lang w:eastAsia="zh-CN"/>
        </w:rPr>
      </w:pPr>
      <w:bookmarkStart w:id="102" w:name="_Toc15396631"/>
      <w:bookmarkStart w:id="103" w:name="_Toc3581"/>
      <w:r>
        <w:rPr>
          <w:rStyle w:val="17"/>
          <w:rFonts w:hint="eastAsia" w:ascii="仿宋" w:hAnsi="仿宋" w:eastAsia="仿宋"/>
          <w:b w:val="0"/>
          <w:bCs w:val="0"/>
          <w:color w:val="auto"/>
          <w:highlight w:val="none"/>
        </w:rPr>
        <w:t>十三、</w:t>
      </w:r>
      <w:bookmarkEnd w:id="102"/>
      <w:r>
        <w:rPr>
          <w:rStyle w:val="17"/>
          <w:rFonts w:hint="eastAsia" w:ascii="仿宋" w:hAnsi="仿宋" w:eastAsia="仿宋"/>
          <w:b w:val="0"/>
          <w:bCs w:val="0"/>
          <w:color w:val="auto"/>
          <w:highlight w:val="none"/>
          <w:lang w:eastAsia="zh-CN"/>
        </w:rPr>
        <w:t>财政拨款“三公”经费支出决算表</w:t>
      </w:r>
      <w:bookmarkEnd w:id="103"/>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7845CCC6"/>
    <w:multiLevelType w:val="singleLevel"/>
    <w:tmpl w:val="7845CCC6"/>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M2E1OWFmZDFiNDZkMzI4NmJjMTI1NDQ5NTE2Z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837D9"/>
    <w:rsid w:val="053A62B5"/>
    <w:rsid w:val="0A2032A3"/>
    <w:rsid w:val="0B8A37D8"/>
    <w:rsid w:val="10C055FF"/>
    <w:rsid w:val="118107EC"/>
    <w:rsid w:val="11DD6519"/>
    <w:rsid w:val="156F266A"/>
    <w:rsid w:val="15CB7B32"/>
    <w:rsid w:val="16BB723D"/>
    <w:rsid w:val="18015F3F"/>
    <w:rsid w:val="1BE8440E"/>
    <w:rsid w:val="1D155CEE"/>
    <w:rsid w:val="1F427767"/>
    <w:rsid w:val="20F57F95"/>
    <w:rsid w:val="240371BF"/>
    <w:rsid w:val="250F4544"/>
    <w:rsid w:val="25711CC6"/>
    <w:rsid w:val="25C741E6"/>
    <w:rsid w:val="27842671"/>
    <w:rsid w:val="296A78E4"/>
    <w:rsid w:val="29FD04D3"/>
    <w:rsid w:val="2ABE7A3E"/>
    <w:rsid w:val="2CA234A8"/>
    <w:rsid w:val="2EFA178C"/>
    <w:rsid w:val="30B46D73"/>
    <w:rsid w:val="319F7F4E"/>
    <w:rsid w:val="34E608E2"/>
    <w:rsid w:val="383D272C"/>
    <w:rsid w:val="39AE70AB"/>
    <w:rsid w:val="3C0C0783"/>
    <w:rsid w:val="3D193084"/>
    <w:rsid w:val="3F9F3A96"/>
    <w:rsid w:val="41085755"/>
    <w:rsid w:val="45ED5F0C"/>
    <w:rsid w:val="48BF60AB"/>
    <w:rsid w:val="493C27E9"/>
    <w:rsid w:val="496F39ED"/>
    <w:rsid w:val="49E04832"/>
    <w:rsid w:val="49FF41D3"/>
    <w:rsid w:val="4BE068DB"/>
    <w:rsid w:val="4BF6002B"/>
    <w:rsid w:val="4E964534"/>
    <w:rsid w:val="4EBF5EFD"/>
    <w:rsid w:val="4ECE2238"/>
    <w:rsid w:val="51DB4B86"/>
    <w:rsid w:val="53455C28"/>
    <w:rsid w:val="55333C3E"/>
    <w:rsid w:val="5A98055C"/>
    <w:rsid w:val="62F94A9B"/>
    <w:rsid w:val="64CA39A1"/>
    <w:rsid w:val="69630ADE"/>
    <w:rsid w:val="6C4A05C8"/>
    <w:rsid w:val="6D3B1A89"/>
    <w:rsid w:val="6EB86B84"/>
    <w:rsid w:val="71BF4EC2"/>
    <w:rsid w:val="72734D90"/>
    <w:rsid w:val="737E51E7"/>
    <w:rsid w:val="7412278C"/>
    <w:rsid w:val="7904082E"/>
    <w:rsid w:val="79E7B28D"/>
    <w:rsid w:val="7BC23862"/>
    <w:rsid w:val="7F9F20EE"/>
    <w:rsid w:val="7FB172FC"/>
    <w:rsid w:val="7FE61D04"/>
    <w:rsid w:val="9E3A10E2"/>
    <w:rsid w:val="F2E1F9D4"/>
    <w:rsid w:val="F7880819"/>
    <w:rsid w:val="FF7F58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标题 1 Char"/>
    <w:basedOn w:val="13"/>
    <w:link w:val="3"/>
    <w:qFormat/>
    <w:uiPriority w:val="9"/>
    <w:rPr>
      <w:rFonts w:ascii="Times New Roman" w:hAnsi="Times New Roman"/>
      <w:b/>
      <w:bCs/>
      <w:kern w:val="44"/>
      <w:sz w:val="44"/>
      <w:szCs w:val="44"/>
    </w:rPr>
  </w:style>
  <w:style w:type="character" w:customStyle="1" w:styleId="17">
    <w:name w:val="标题 2 Char"/>
    <w:basedOn w:val="13"/>
    <w:link w:val="4"/>
    <w:qFormat/>
    <w:uiPriority w:val="9"/>
    <w:rPr>
      <w:rFonts w:asciiTheme="majorHAnsi" w:hAnsiTheme="majorHAnsi" w:eastAsiaTheme="majorEastAsia" w:cstheme="majorBidi"/>
      <w:b/>
      <w:bCs/>
      <w:kern w:val="2"/>
      <w:sz w:val="32"/>
      <w:szCs w:val="32"/>
    </w:rPr>
  </w:style>
  <w:style w:type="character" w:customStyle="1" w:styleId="18">
    <w:name w:val="标题 3 Char"/>
    <w:basedOn w:val="13"/>
    <w:link w:val="5"/>
    <w:qFormat/>
    <w:uiPriority w:val="9"/>
    <w:rPr>
      <w:rFonts w:ascii="Times New Roman" w:hAnsi="Times New Roman"/>
      <w:b/>
      <w:bCs/>
      <w:kern w:val="2"/>
      <w:sz w:val="32"/>
      <w:szCs w:val="32"/>
    </w:rPr>
  </w:style>
  <w:style w:type="character" w:customStyle="1" w:styleId="19">
    <w:name w:val="Header Char"/>
    <w:basedOn w:val="13"/>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3"/>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3"/>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收、支决算总计变动情况图</a:t>
            </a:r>
            <a:endParaRPr>
              <a:solidFill>
                <a:sysClr val="windowText" lastClr="000000"/>
              </a:solidFill>
            </a:endParaRPr>
          </a:p>
        </c:rich>
      </c:tx>
      <c:layout>
        <c:manualLayout>
          <c:xMode val="edge"/>
          <c:yMode val="edge"/>
          <c:x val="0.0192056441076561"/>
          <c:y val="0.0308710033076075"/>
        </c:manualLayout>
      </c:layout>
      <c:overlay val="false"/>
      <c:spPr>
        <a:noFill/>
        <a:ln>
          <a:noFill/>
        </a:ln>
        <a:effectLst/>
      </c:spPr>
    </c:title>
    <c:autoTitleDeleted val="false"/>
    <c:plotArea>
      <c:layout>
        <c:manualLayout>
          <c:layoutTarget val="inner"/>
          <c:xMode val="edge"/>
          <c:yMode val="edge"/>
          <c:x val="0.0900312532791253"/>
          <c:y val="0.180255753587582"/>
          <c:w val="0.873734694843312"/>
          <c:h val="0.686161352212451"/>
        </c:manualLayout>
      </c:layout>
      <c:barChart>
        <c:barDir val="col"/>
        <c:grouping val="clustered"/>
        <c:varyColors val="false"/>
        <c:ser>
          <c:idx val="3"/>
          <c:order val="0"/>
          <c:tx>
            <c:strRef>
              <c:f>Sheet1!$B$1</c:f>
              <c:strCache>
                <c:ptCount val="1"/>
                <c:pt idx="0">
                  <c:v>收支总计</c:v>
                </c:pt>
              </c:strCache>
            </c:strRef>
          </c:tx>
          <c:spPr>
            <a:solidFill>
              <a:srgbClr val="9884F4">
                <a:alpha val="70000"/>
              </a:srgbClr>
            </a:solidFill>
            <a:ln>
              <a:noFill/>
            </a:ln>
            <a:effectLst/>
          </c:spPr>
          <c:invertIfNegative val="false"/>
          <c:dPt>
            <c:idx val="0"/>
            <c:invertIfNegative val="false"/>
            <c:bubble3D val="false"/>
            <c:spPr>
              <a:solidFill>
                <a:srgbClr val="4F81BD">
                  <a:alpha val="70000"/>
                </a:srgbClr>
              </a:solidFill>
              <a:ln>
                <a:noFill/>
              </a:ln>
              <a:effectLst/>
            </c:spPr>
          </c:dPt>
          <c:dPt>
            <c:idx val="1"/>
            <c:invertIfNegative val="false"/>
            <c:bubble3D val="false"/>
            <c:spPr>
              <a:solidFill>
                <a:srgbClr val="C0504D">
                  <a:alpha val="70000"/>
                </a:srgbClr>
              </a:solidFill>
              <a:ln>
                <a:noFill/>
              </a:ln>
              <a:effectLst/>
            </c:spPr>
          </c:dPt>
          <c:dLbls>
            <c:dLbl>
              <c:idx val="0"/>
              <c:layout>
                <c:manualLayout>
                  <c:x val="0.00375"/>
                  <c:y val="-0.067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875"/>
                  <c:y val="-0.06"/>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919.24</c:v>
                </c:pt>
                <c:pt idx="1">
                  <c:v>826.6</c:v>
                </c:pt>
              </c:numCache>
            </c:numRef>
          </c:val>
        </c:ser>
        <c:dLbls>
          <c:showLegendKey val="false"/>
          <c:showVal val="true"/>
          <c:showCatName val="false"/>
          <c:showSerName val="false"/>
          <c:showPercent val="false"/>
          <c:showBubbleSize val="false"/>
        </c:dLbls>
        <c:gapWidth val="120"/>
        <c:overlap val="20"/>
        <c:axId val="718828570"/>
        <c:axId val="590458883"/>
      </c:barChart>
      <c:catAx>
        <c:axId val="718828570"/>
        <c:scaling>
          <c:orientation val="minMax"/>
        </c:scaling>
        <c:delete val="false"/>
        <c:axPos val="b"/>
        <c:majorGridlines>
          <c:spPr>
            <a:ln w="3175" cap="flat" cmpd="sng" algn="ctr">
              <a:solidFill>
                <a:schemeClr val="bg1">
                  <a:lumMod val="85000"/>
                </a:schemeClr>
              </a:solidFill>
              <a:round/>
            </a:ln>
            <a:effectLst/>
          </c:spPr>
        </c:majorGridlines>
        <c:minorGridlines>
          <c:spPr>
            <a:ln w="3175" cap="flat" cmpd="sng" algn="ctr">
              <a:solidFill>
                <a:schemeClr val="bg1">
                  <a:lumMod val="85000"/>
                </a:schemeClr>
              </a:solidFill>
              <a:round/>
            </a:ln>
            <a:effectLst/>
          </c:spPr>
        </c:minorGridlines>
        <c:numFmt formatCode="General" sourceLinked="true"/>
        <c:majorTickMark val="in"/>
        <c:minorTickMark val="none"/>
        <c:tickLblPos val="nextTo"/>
        <c:spPr>
          <a:noFill/>
          <a:ln w="317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90458883"/>
        <c:crosses val="autoZero"/>
        <c:auto val="true"/>
        <c:lblAlgn val="ctr"/>
        <c:lblOffset val="100"/>
        <c:noMultiLvlLbl val="false"/>
      </c:catAx>
      <c:valAx>
        <c:axId val="590458883"/>
        <c:scaling>
          <c:orientation val="minMax"/>
        </c:scaling>
        <c:delete val="false"/>
        <c:axPos val="l"/>
        <c:majorGridlines>
          <c:spPr>
            <a:ln w="3175" cap="flat" cmpd="sng" algn="ctr">
              <a:solidFill>
                <a:schemeClr val="bg1">
                  <a:lumMod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18828570"/>
        <c:crosses val="autoZero"/>
        <c:crossBetween val="between"/>
      </c:valAx>
      <c:spPr>
        <a:solidFill>
          <a:schemeClr val="bg1"/>
        </a:solidFill>
        <a:ln w="3175">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788919591217808"/>
          <c:y val="0.0485997794928335"/>
          <c:w val="0.179934324906538"/>
          <c:h val="0.0783293543654342"/>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317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收入决算结构图</a:t>
            </a:r>
            <a:endParaRPr>
              <a:solidFill>
                <a:sysClr val="windowText" lastClr="000000"/>
              </a:solidFill>
            </a:endParaRPr>
          </a:p>
        </c:rich>
      </c:tx>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本年收入</c:v>
                </c:pt>
              </c:strCache>
            </c:strRef>
          </c:tx>
          <c:spPr>
            <a:solidFill>
              <a:srgbClr val="4F81BD"/>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9BBB59"/>
              </a:solidFill>
              <a:ln w="31750">
                <a:solidFill>
                  <a:schemeClr val="bg1">
                    <a:alpha val="42000"/>
                  </a:schemeClr>
                </a:solidFill>
              </a:ln>
              <a:effectLst/>
            </c:spPr>
          </c:dPt>
          <c:dPt>
            <c:idx val="2"/>
            <c:bubble3D val="false"/>
            <c:spPr>
              <a:solidFill>
                <a:srgbClr val="C0504D">
                  <a:alpha val="86000"/>
                </a:srgbClr>
              </a:solidFill>
              <a:ln w="31750">
                <a:solidFill>
                  <a:schemeClr val="bg1">
                    <a:alpha val="42000"/>
                  </a:schemeClr>
                </a:solidFill>
              </a:ln>
              <a:effectLst/>
            </c:spPr>
          </c:dPt>
          <c:dLbls>
            <c:dLbl>
              <c:idx val="0"/>
              <c:layout/>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extLst>
                <c:ext xmlns:c15="http://schemas.microsoft.com/office/drawing/2012/chart" uri="{CE6537A1-D6FC-4f65-9D91-7224C49458BB}"/>
              </c:extLst>
            </c:dLbl>
            <c:dLbl>
              <c:idx val="1"/>
              <c:layout/>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extLst>
                <c:ext xmlns:c15="http://schemas.microsoft.com/office/drawing/2012/chart" uri="{CE6537A1-D6FC-4f65-9D91-7224C49458BB}"/>
              </c:extLst>
            </c:dLbl>
            <c:dLbl>
              <c:idx val="2"/>
              <c:layout/>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extLst>
                <c:ext xmlns:c15="http://schemas.microsoft.com/office/drawing/2012/chart" uri="{CE6537A1-D6FC-4f65-9D91-7224C49458BB}"/>
              </c:extLst>
            </c:dLbl>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682.17</c:v>
                </c:pt>
                <c:pt idx="1">
                  <c:v>32.35</c:v>
                </c:pt>
                <c:pt idx="2">
                  <c:v>33.72</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支出决算结构图</a:t>
            </a:r>
            <a:endParaRPr>
              <a:solidFill>
                <a:sysClr val="windowText" lastClr="000000"/>
              </a:solidFill>
            </a:endParaRPr>
          </a:p>
        </c:rich>
      </c:tx>
      <c:layout>
        <c:manualLayout>
          <c:xMode val="edge"/>
          <c:yMode val="edge"/>
          <c:x val="0.4055"/>
          <c:y val="0.0175"/>
        </c:manualLayout>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本年支出</c:v>
                </c:pt>
              </c:strCache>
            </c:strRef>
          </c:tx>
          <c:spPr>
            <a:solidFill>
              <a:srgbClr val="859949"/>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C0504D">
                  <a:alpha val="86000"/>
                </a:srgbClr>
              </a:solidFill>
              <a:ln w="31750">
                <a:solidFill>
                  <a:schemeClr val="bg1">
                    <a:alpha val="42000"/>
                  </a:schemeClr>
                </a:solidFill>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499.3</c:v>
                </c:pt>
                <c:pt idx="1">
                  <c:v>296.09</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财政拨款收、支决算总体变动情况图</a:t>
            </a:r>
            <a:endParaRPr>
              <a:solidFill>
                <a:sysClr val="windowText" lastClr="000000"/>
              </a:solidFill>
            </a:endParaRPr>
          </a:p>
        </c:rich>
      </c:tx>
      <c:layout>
        <c:manualLayout>
          <c:xMode val="edge"/>
          <c:yMode val="edge"/>
          <c:x val="0.0192056441076561"/>
          <c:y val="0.0308710033076075"/>
        </c:manualLayout>
      </c:layout>
      <c:overlay val="false"/>
      <c:spPr>
        <a:noFill/>
        <a:ln>
          <a:noFill/>
        </a:ln>
        <a:effectLst/>
      </c:spPr>
    </c:title>
    <c:autoTitleDeleted val="false"/>
    <c:plotArea>
      <c:layout>
        <c:manualLayout>
          <c:layoutTarget val="inner"/>
          <c:xMode val="edge"/>
          <c:yMode val="edge"/>
          <c:x val="0.0900312532791253"/>
          <c:y val="0.180255753587582"/>
          <c:w val="0.873734694843312"/>
          <c:h val="0.686161352212451"/>
        </c:manualLayout>
      </c:layout>
      <c:barChart>
        <c:barDir val="col"/>
        <c:grouping val="clustered"/>
        <c:varyColors val="false"/>
        <c:ser>
          <c:idx val="3"/>
          <c:order val="0"/>
          <c:tx>
            <c:strRef>
              <c:f>Sheet1!$B$1</c:f>
              <c:strCache>
                <c:ptCount val="1"/>
                <c:pt idx="0">
                  <c:v>收、支决算总计</c:v>
                </c:pt>
              </c:strCache>
            </c:strRef>
          </c:tx>
          <c:spPr>
            <a:solidFill>
              <a:srgbClr val="4F81BD">
                <a:alpha val="70000"/>
              </a:srgbClr>
            </a:solidFill>
            <a:ln>
              <a:noFill/>
            </a:ln>
            <a:effectLst/>
          </c:spPr>
          <c:invertIfNegative val="false"/>
          <c:dPt>
            <c:idx val="1"/>
            <c:invertIfNegative val="false"/>
            <c:bubble3D val="false"/>
            <c:spPr>
              <a:solidFill>
                <a:srgbClr val="C0504D">
                  <a:alpha val="70000"/>
                </a:srgbClr>
              </a:solidFill>
              <a:ln>
                <a:noFill/>
              </a:ln>
              <a:effectLst/>
            </c:spPr>
          </c:dPt>
          <c:dLbls>
            <c:dLbl>
              <c:idx val="0"/>
              <c:layout>
                <c:manualLayout>
                  <c:x val="0"/>
                  <c:y val="-0.06"/>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736277602523659"/>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873.84</c:v>
                </c:pt>
                <c:pt idx="1">
                  <c:v>765.15</c:v>
                </c:pt>
              </c:numCache>
            </c:numRef>
          </c:val>
        </c:ser>
        <c:dLbls>
          <c:showLegendKey val="false"/>
          <c:showVal val="true"/>
          <c:showCatName val="false"/>
          <c:showSerName val="false"/>
          <c:showPercent val="false"/>
          <c:showBubbleSize val="false"/>
        </c:dLbls>
        <c:gapWidth val="120"/>
        <c:overlap val="20"/>
        <c:axId val="28130332"/>
        <c:axId val="599905576"/>
      </c:barChart>
      <c:catAx>
        <c:axId val="28130332"/>
        <c:scaling>
          <c:orientation val="minMax"/>
        </c:scaling>
        <c:delete val="false"/>
        <c:axPos val="b"/>
        <c:majorGridlines>
          <c:spPr>
            <a:ln w="3175" cap="flat" cmpd="sng" algn="ctr">
              <a:solidFill>
                <a:schemeClr val="bg1">
                  <a:lumMod val="85000"/>
                </a:schemeClr>
              </a:solidFill>
              <a:round/>
            </a:ln>
            <a:effectLst/>
          </c:spPr>
        </c:majorGridlines>
        <c:minorGridlines>
          <c:spPr>
            <a:ln w="3175" cap="flat" cmpd="sng" algn="ctr">
              <a:solidFill>
                <a:schemeClr val="bg1">
                  <a:lumMod val="85000"/>
                </a:schemeClr>
              </a:solidFill>
              <a:round/>
            </a:ln>
            <a:effectLst/>
          </c:spPr>
        </c:minorGridlines>
        <c:numFmt formatCode="General" sourceLinked="true"/>
        <c:majorTickMark val="in"/>
        <c:minorTickMark val="none"/>
        <c:tickLblPos val="nextTo"/>
        <c:spPr>
          <a:noFill/>
          <a:ln w="317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99905576"/>
        <c:crosses val="autoZero"/>
        <c:auto val="true"/>
        <c:lblAlgn val="ctr"/>
        <c:lblOffset val="100"/>
        <c:noMultiLvlLbl val="false"/>
      </c:catAx>
      <c:valAx>
        <c:axId val="599905576"/>
        <c:scaling>
          <c:orientation val="minMax"/>
        </c:scaling>
        <c:delete val="false"/>
        <c:axPos val="l"/>
        <c:majorGridlines>
          <c:spPr>
            <a:ln w="3175" cap="flat" cmpd="sng" algn="ctr">
              <a:solidFill>
                <a:schemeClr val="bg1">
                  <a:lumMod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130332"/>
        <c:crosses val="autoZero"/>
        <c:crossBetween val="between"/>
      </c:valAx>
      <c:spPr>
        <a:solidFill>
          <a:schemeClr val="bg1"/>
        </a:solidFill>
        <a:ln w="3175">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788919591217808"/>
          <c:y val="0.0485997794928335"/>
          <c:w val="0.179934324906538"/>
          <c:h val="0.0783293543654342"/>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317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一般公共预算财政拨款支出决算变动情况图</a:t>
            </a:r>
            <a:endParaRPr>
              <a:solidFill>
                <a:sysClr val="windowText" lastClr="000000"/>
              </a:solidFill>
            </a:endParaRPr>
          </a:p>
        </c:rich>
      </c:tx>
      <c:layout>
        <c:manualLayout>
          <c:xMode val="edge"/>
          <c:yMode val="edge"/>
          <c:x val="0.0192056441076561"/>
          <c:y val="0.0308710033076075"/>
        </c:manualLayout>
      </c:layout>
      <c:overlay val="false"/>
      <c:spPr>
        <a:noFill/>
        <a:ln>
          <a:noFill/>
        </a:ln>
        <a:effectLst/>
      </c:spPr>
    </c:title>
    <c:autoTitleDeleted val="false"/>
    <c:plotArea>
      <c:layout>
        <c:manualLayout>
          <c:layoutTarget val="inner"/>
          <c:xMode val="edge"/>
          <c:yMode val="edge"/>
          <c:x val="0.0900312532791253"/>
          <c:y val="0.180255753587582"/>
          <c:w val="0.873734694843312"/>
          <c:h val="0.686161352212451"/>
        </c:manualLayout>
      </c:layout>
      <c:barChart>
        <c:barDir val="col"/>
        <c:grouping val="clustered"/>
        <c:varyColors val="false"/>
        <c:ser>
          <c:idx val="3"/>
          <c:order val="0"/>
          <c:tx>
            <c:strRef>
              <c:f>Sheet1!$B$1</c:f>
              <c:strCache>
                <c:ptCount val="1"/>
                <c:pt idx="0">
                  <c:v>一般公共预算财政拨款支出</c:v>
                </c:pt>
              </c:strCache>
            </c:strRef>
          </c:tx>
          <c:spPr>
            <a:solidFill>
              <a:srgbClr val="9884F4">
                <a:alpha val="70000"/>
              </a:srgbClr>
            </a:solidFill>
            <a:ln>
              <a:noFill/>
            </a:ln>
            <a:effectLst/>
          </c:spPr>
          <c:invertIfNegative val="false"/>
          <c:dPt>
            <c:idx val="0"/>
            <c:invertIfNegative val="false"/>
            <c:bubble3D val="false"/>
            <c:spPr>
              <a:solidFill>
                <a:srgbClr val="4F81BD">
                  <a:alpha val="70000"/>
                </a:srgbClr>
              </a:solidFill>
              <a:ln>
                <a:noFill/>
              </a:ln>
              <a:effectLst/>
            </c:spPr>
          </c:dPt>
          <c:dPt>
            <c:idx val="1"/>
            <c:invertIfNegative val="false"/>
            <c:bubble3D val="false"/>
            <c:spPr>
              <a:solidFill>
                <a:srgbClr val="C0504D">
                  <a:alpha val="70000"/>
                </a:srgbClr>
              </a:solidFill>
              <a:ln>
                <a:noFill/>
              </a:ln>
              <a:effectLst/>
            </c:spPr>
          </c:dPt>
          <c:dLbls>
            <c:dLbl>
              <c:idx val="0"/>
              <c:layout>
                <c:manualLayout>
                  <c:x val="0.001875"/>
                  <c:y val="-0.0702361494374867"/>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875"/>
                  <c:y val="-0.0802605603905752"/>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2022</c:v>
                </c:pt>
              </c:numCache>
            </c:numRef>
          </c:cat>
          <c:val>
            <c:numRef>
              <c:f>Sheet1!$B$2:$B$3</c:f>
              <c:numCache>
                <c:formatCode>General</c:formatCode>
                <c:ptCount val="2"/>
                <c:pt idx="0">
                  <c:v>678.03</c:v>
                </c:pt>
                <c:pt idx="1">
                  <c:v>698.94</c:v>
                </c:pt>
              </c:numCache>
            </c:numRef>
          </c:val>
        </c:ser>
        <c:dLbls>
          <c:showLegendKey val="false"/>
          <c:showVal val="true"/>
          <c:showCatName val="false"/>
          <c:showSerName val="false"/>
          <c:showPercent val="false"/>
          <c:showBubbleSize val="false"/>
        </c:dLbls>
        <c:gapWidth val="120"/>
        <c:overlap val="20"/>
        <c:axId val="975616833"/>
        <c:axId val="282071817"/>
      </c:barChart>
      <c:catAx>
        <c:axId val="975616833"/>
        <c:scaling>
          <c:orientation val="minMax"/>
        </c:scaling>
        <c:delete val="false"/>
        <c:axPos val="b"/>
        <c:majorGridlines>
          <c:spPr>
            <a:ln w="3175" cap="flat" cmpd="sng" algn="ctr">
              <a:solidFill>
                <a:schemeClr val="bg1">
                  <a:lumMod val="85000"/>
                </a:schemeClr>
              </a:solidFill>
              <a:round/>
            </a:ln>
            <a:effectLst/>
          </c:spPr>
        </c:majorGridlines>
        <c:minorGridlines>
          <c:spPr>
            <a:ln w="3175" cap="flat" cmpd="sng" algn="ctr">
              <a:solidFill>
                <a:schemeClr val="bg1">
                  <a:lumMod val="85000"/>
                </a:schemeClr>
              </a:solidFill>
              <a:round/>
            </a:ln>
            <a:effectLst/>
          </c:spPr>
        </c:minorGridlines>
        <c:numFmt formatCode="General" sourceLinked="true"/>
        <c:majorTickMark val="in"/>
        <c:minorTickMark val="none"/>
        <c:tickLblPos val="nextTo"/>
        <c:spPr>
          <a:noFill/>
          <a:ln w="317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2071817"/>
        <c:crosses val="autoZero"/>
        <c:auto val="true"/>
        <c:lblAlgn val="ctr"/>
        <c:lblOffset val="100"/>
        <c:noMultiLvlLbl val="false"/>
      </c:catAx>
      <c:valAx>
        <c:axId val="282071817"/>
        <c:scaling>
          <c:orientation val="minMax"/>
        </c:scaling>
        <c:delete val="false"/>
        <c:axPos val="l"/>
        <c:majorGridlines>
          <c:spPr>
            <a:ln w="3175" cap="flat" cmpd="sng" algn="ctr">
              <a:solidFill>
                <a:schemeClr val="bg1">
                  <a:lumMod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75616833"/>
        <c:crosses val="autoZero"/>
        <c:crossBetween val="between"/>
      </c:valAx>
      <c:spPr>
        <a:solidFill>
          <a:schemeClr val="bg1"/>
        </a:solidFill>
        <a:ln w="3175">
          <a:noFill/>
        </a:ln>
        <a:effectLst/>
      </c:spPr>
    </c:plotArea>
    <c:legend>
      <c:legendPos val="t"/>
      <c:layout>
        <c:manualLayout>
          <c:xMode val="edge"/>
          <c:yMode val="edge"/>
          <c:x val="0.788919591217808"/>
          <c:y val="0.0485997794928335"/>
          <c:w val="0.179934324906538"/>
          <c:h val="0.0783293543654342"/>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317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一般公共预算财政拨款支出决算结构图</a:t>
            </a:r>
            <a:endParaRPr>
              <a:solidFill>
                <a:sysClr val="windowText" lastClr="000000"/>
              </a:solidFill>
            </a:endParaRPr>
          </a:p>
        </c:rich>
      </c:tx>
      <c:layout/>
      <c:overlay val="false"/>
      <c:spPr>
        <a:noFill/>
        <a:ln>
          <a:noFill/>
        </a:ln>
        <a:effectLst/>
      </c:spPr>
    </c:title>
    <c:autoTitleDeleted val="false"/>
    <c:plotArea>
      <c:layout>
        <c:manualLayout>
          <c:layoutTarget val="inner"/>
          <c:xMode val="edge"/>
          <c:yMode val="edge"/>
          <c:x val="0.313466394188049"/>
          <c:y val="0.430246965950491"/>
          <c:w val="0.408552723220504"/>
          <c:h val="0.692561983471074"/>
        </c:manualLayout>
      </c:layout>
      <c:pieChart>
        <c:varyColors val="true"/>
        <c:ser>
          <c:idx val="0"/>
          <c:order val="0"/>
          <c:tx>
            <c:strRef>
              <c:f>Sheet1!$B$1</c:f>
              <c:strCache>
                <c:ptCount val="1"/>
                <c:pt idx="0">
                  <c:v>一般公共预算财政拨款支出</c:v>
                </c:pt>
              </c:strCache>
            </c:strRef>
          </c:tx>
          <c:spPr>
            <a:solidFill>
              <a:srgbClr val="4F81BD"/>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9BBB59"/>
              </a:solidFill>
              <a:ln w="31750">
                <a:solidFill>
                  <a:schemeClr val="bg1">
                    <a:alpha val="42000"/>
                  </a:schemeClr>
                </a:solidFill>
              </a:ln>
              <a:effectLst/>
            </c:spPr>
          </c:dPt>
          <c:dPt>
            <c:idx val="2"/>
            <c:bubble3D val="false"/>
            <c:spPr>
              <a:solidFill>
                <a:srgbClr val="C0504D">
                  <a:alpha val="86000"/>
                </a:srgbClr>
              </a:solidFill>
              <a:ln w="31750">
                <a:solidFill>
                  <a:schemeClr val="bg1">
                    <a:alpha val="42000"/>
                  </a:schemeClr>
                </a:solidFill>
              </a:ln>
              <a:effectLst/>
            </c:spPr>
          </c:dPt>
          <c:dLbls>
            <c:dLbl>
              <c:idx val="0"/>
              <c:layout>
                <c:manualLayout>
                  <c:x val="0.0839395635142697"/>
                  <c:y val="-0.0278896808180973"/>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社会保障和就业（类）</c:v>
                </c:pt>
                <c:pt idx="1">
                  <c:v>卫生健康支出（类）</c:v>
                </c:pt>
                <c:pt idx="2">
                  <c:v>住房保障支出（类）</c:v>
                </c:pt>
              </c:strCache>
            </c:strRef>
          </c:cat>
          <c:val>
            <c:numRef>
              <c:f>Sheet1!$B$2:$B$4</c:f>
              <c:numCache>
                <c:formatCode>General</c:formatCode>
                <c:ptCount val="3"/>
                <c:pt idx="0">
                  <c:v>621.57</c:v>
                </c:pt>
                <c:pt idx="1">
                  <c:v>46.71</c:v>
                </c:pt>
                <c:pt idx="2">
                  <c:v>35.45</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673475097929491"/>
          <c:y val="0.179733498605516"/>
          <c:w val="0.322327923894796"/>
          <c:h val="0.475983885962194"/>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zh-CN">
                <a:solidFill>
                  <a:sysClr val="windowText" lastClr="000000"/>
                </a:solidFill>
              </a:rPr>
              <a:t>三公经费财政拨款支出结构图</a:t>
            </a:r>
            <a:endParaRPr altLang="zh-CN">
              <a:solidFill>
                <a:sysClr val="windowText" lastClr="000000"/>
              </a:solidFill>
            </a:endParaRPr>
          </a:p>
        </c:rich>
      </c:tx>
      <c:layout>
        <c:manualLayout>
          <c:xMode val="edge"/>
          <c:yMode val="edge"/>
          <c:x val="0.196394043180439"/>
          <c:y val="0.0419523657977555"/>
        </c:manualLayout>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三公经费财政拨款支出</c:v>
                </c:pt>
              </c:strCache>
            </c:strRef>
          </c:tx>
          <c:spPr>
            <a:solidFill>
              <a:srgbClr val="C0504D"/>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C0504D">
                  <a:alpha val="86000"/>
                </a:srgbClr>
              </a:solidFill>
              <a:ln w="31750">
                <a:solidFill>
                  <a:schemeClr val="bg1">
                    <a:alpha val="42000"/>
                  </a:schemeClr>
                </a:solidFill>
              </a:ln>
              <a:effectLst/>
            </c:spPr>
          </c:dPt>
          <c:dPt>
            <c:idx val="2"/>
            <c:bubble3D val="false"/>
            <c:spPr>
              <a:solidFill>
                <a:srgbClr val="C0504D"/>
              </a:solidFill>
              <a:ln w="31750">
                <a:solidFill>
                  <a:schemeClr val="bg1">
                    <a:alpha val="42000"/>
                  </a:schemeClr>
                </a:solidFill>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c:v>
                </c:pt>
                <c:pt idx="1">
                  <c:v>因公出国（境）费</c:v>
                </c:pt>
                <c:pt idx="2">
                  <c:v>公务接待费</c:v>
                </c:pt>
              </c:strCache>
            </c:strRef>
          </c:cat>
          <c:val>
            <c:numRef>
              <c:f>Sheet1!$B$2:$B$4</c:f>
              <c:numCache>
                <c:formatCode>General</c:formatCode>
                <c:ptCount val="3"/>
                <c:pt idx="0">
                  <c:v>1</c:v>
                </c:pt>
                <c:pt idx="1">
                  <c:v>0</c:v>
                </c:pt>
                <c:pt idx="2">
                  <c:v>0</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17</Pages>
  <Words>4536</Words>
  <Characters>4942</Characters>
  <Lines>61</Lines>
  <Paragraphs>17</Paragraphs>
  <TotalTime>8</TotalTime>
  <ScaleCrop>false</ScaleCrop>
  <LinksUpToDate>false</LinksUpToDate>
  <CharactersWithSpaces>4970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uos</cp:lastModifiedBy>
  <cp:lastPrinted>2023-08-01T02:35:00Z</cp:lastPrinted>
  <dcterms:modified xsi:type="dcterms:W3CDTF">2023-10-18T11:29:48Z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F9F6D3C1104547A489C308091BDA63FF_13</vt:lpwstr>
  </property>
</Properties>
</file>