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8441"/>
      <w:bookmarkStart w:id="3" w:name="_Toc15377425"/>
      <w:bookmarkStart w:id="4" w:name="_Toc15396597"/>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lang w:val="en-US" w:eastAsia="zh-CN"/>
        </w:rPr>
      </w:pPr>
      <w:bookmarkStart w:id="6" w:name="_Toc15377426"/>
      <w:bookmarkStart w:id="7" w:name="_Toc15396476"/>
      <w:bookmarkStart w:id="8" w:name="_Toc15377194"/>
      <w:bookmarkStart w:id="9" w:name="_Toc15396598"/>
      <w:bookmarkStart w:id="10" w:name="_Toc15378442"/>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殡葬管理所</w:t>
      </w:r>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2"/>
      </w:pPr>
    </w:p>
    <w:p>
      <w:pPr>
        <w:pStyle w:val="13"/>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p>
    <w:sdt>
      <w:sdtPr>
        <w:rPr>
          <w:rFonts w:ascii="宋体" w:hAnsi="宋体" w:eastAsia="宋体" w:cs="Times New Roman"/>
          <w:kern w:val="2"/>
          <w:sz w:val="21"/>
          <w:szCs w:val="24"/>
          <w:lang w:val="en-US" w:eastAsia="zh-CN" w:bidi="ar-SA"/>
        </w:rPr>
        <w:id w:val="147455228"/>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TOC \o "1-3" \h \u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_Toc17906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eastAsia="zh-CN"/>
            </w:rPr>
            <w:t>一</w:t>
          </w:r>
          <w:r>
            <w:rPr>
              <w:rFonts w:hint="eastAsia" w:ascii="仿宋" w:hAnsi="仿宋" w:eastAsia="仿宋" w:cs="仿宋"/>
              <w:bCs/>
              <w:sz w:val="28"/>
              <w:szCs w:val="28"/>
              <w:highlight w:val="none"/>
            </w:rPr>
            <w:t xml:space="preserve">部分 </w:t>
          </w:r>
          <w:r>
            <w:rPr>
              <w:rFonts w:hint="eastAsia" w:ascii="仿宋" w:hAnsi="仿宋" w:eastAsia="仿宋" w:cs="仿宋"/>
              <w:sz w:val="28"/>
              <w:szCs w:val="28"/>
              <w:highlight w:val="none"/>
              <w:lang w:eastAsia="zh-CN"/>
            </w:rPr>
            <w:t>单位</w:t>
          </w:r>
          <w:r>
            <w:rPr>
              <w:rFonts w:hint="eastAsia" w:ascii="仿宋" w:hAnsi="仿宋" w:eastAsia="仿宋" w:cs="仿宋"/>
              <w:bCs w:val="0"/>
              <w:sz w:val="28"/>
              <w:szCs w:val="28"/>
              <w:highlight w:val="none"/>
            </w:rPr>
            <w:t>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_Toc17906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_Toc17736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lang w:eastAsia="zh-CN"/>
            </w:rPr>
            <w:t>一、</w:t>
          </w:r>
          <w:r>
            <w:rPr>
              <w:rFonts w:hint="eastAsia" w:ascii="仿宋" w:hAnsi="仿宋" w:eastAsia="仿宋" w:cs="仿宋"/>
              <w:bCs w:val="0"/>
              <w:sz w:val="28"/>
              <w:szCs w:val="28"/>
              <w:highlight w:val="none"/>
            </w:rPr>
            <w:t>职能</w:t>
          </w:r>
          <w:r>
            <w:rPr>
              <w:rFonts w:hint="eastAsia" w:ascii="仿宋" w:hAnsi="仿宋" w:eastAsia="仿宋" w:cs="仿宋"/>
              <w:bCs w:val="0"/>
              <w:sz w:val="28"/>
              <w:szCs w:val="28"/>
              <w:highlight w:val="none"/>
              <w:lang w:eastAsia="zh-CN"/>
            </w:rPr>
            <w:t>简介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_Toc17736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_Toc27111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lang w:val="en-US" w:eastAsia="zh-CN"/>
            </w:rPr>
            <w:t>二、2021年重点</w:t>
          </w:r>
          <w:r>
            <w:rPr>
              <w:rFonts w:hint="eastAsia" w:ascii="仿宋" w:hAnsi="仿宋" w:eastAsia="仿宋" w:cs="仿宋"/>
              <w:sz w:val="28"/>
              <w:szCs w:val="28"/>
              <w:highlight w:val="none"/>
            </w:rPr>
            <w:t>工作</w:t>
          </w:r>
          <w:r>
            <w:rPr>
              <w:rFonts w:hint="eastAsia" w:ascii="仿宋" w:hAnsi="仿宋" w:eastAsia="仿宋" w:cs="仿宋"/>
              <w:sz w:val="28"/>
              <w:szCs w:val="28"/>
              <w:highlight w:val="none"/>
              <w:lang w:eastAsia="zh-CN"/>
            </w:rPr>
            <w:t>完成情况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_Toc27111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_Toc15894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 xml:space="preserve">第二部分 </w:t>
          </w:r>
          <w:r>
            <w:rPr>
              <w:rFonts w:hint="eastAsia" w:ascii="仿宋" w:hAnsi="仿宋" w:eastAsia="仿宋" w:cs="仿宋"/>
              <w:bCs/>
              <w:sz w:val="28"/>
              <w:szCs w:val="28"/>
              <w:highlight w:val="none"/>
              <w:lang w:val="en-US" w:eastAsia="zh-CN"/>
            </w:rPr>
            <w:t>2021年度</w:t>
          </w:r>
          <w:r>
            <w:rPr>
              <w:rFonts w:hint="eastAsia" w:ascii="仿宋" w:hAnsi="仿宋" w:eastAsia="仿宋" w:cs="仿宋"/>
              <w:bCs/>
              <w:sz w:val="28"/>
              <w:szCs w:val="28"/>
              <w:highlight w:val="none"/>
              <w:lang w:eastAsia="zh-CN"/>
            </w:rPr>
            <w:t>单位</w:t>
          </w:r>
          <w:r>
            <w:rPr>
              <w:rFonts w:hint="eastAsia" w:ascii="仿宋" w:hAnsi="仿宋" w:eastAsia="仿宋" w:cs="仿宋"/>
              <w:bCs/>
              <w:sz w:val="28"/>
              <w:szCs w:val="28"/>
              <w:highlight w:val="none"/>
            </w:rPr>
            <w:t>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_Toc15894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_Toc15768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rPr>
            <w:t>一、</w:t>
          </w:r>
          <w:r>
            <w:rPr>
              <w:rFonts w:hint="eastAsia" w:ascii="仿宋" w:hAnsi="仿宋" w:eastAsia="仿宋" w:cs="仿宋"/>
              <w:sz w:val="28"/>
              <w:szCs w:val="28"/>
              <w:highlight w:val="none"/>
            </w:rPr>
            <w:t>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_Toc15768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_Toc17491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rPr>
            <w:t>二、</w:t>
          </w:r>
          <w:r>
            <w:rPr>
              <w:rFonts w:hint="eastAsia" w:ascii="仿宋" w:hAnsi="仿宋" w:eastAsia="仿宋" w:cs="仿宋"/>
              <w:sz w:val="28"/>
              <w:szCs w:val="28"/>
              <w:highlight w:val="none"/>
            </w:rPr>
            <w:t>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_Toc17491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_Toc29711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rPr>
            <w:t>三、</w:t>
          </w:r>
          <w:r>
            <w:rPr>
              <w:rFonts w:hint="eastAsia" w:ascii="仿宋" w:hAnsi="仿宋" w:eastAsia="仿宋" w:cs="仿宋"/>
              <w:sz w:val="28"/>
              <w:szCs w:val="28"/>
              <w:highlight w:val="none"/>
            </w:rPr>
            <w:t>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_Toc29711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_Toc24069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_Toc24069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_Toc9684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_Toc9684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_Toc10692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（一）一般公共预算财政拨款支出决算总体情况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_Toc10692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_Toc1671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（二）一般公共预算财政拨款支出决算结构情况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_Toc1671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_Toc1653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（三）一般公共预算财政拨款支出决算具体情况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_Toc1653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_Toc5175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_Toc5175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_Toc4538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七、“三公”经费财政拨款支出决算情况说明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_Toc4538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_Toc30343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（一）“三公”经费财政拨款支出决算总体情况说明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_Toc30343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_Toc31503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（二）“三公”经费财政拨款支出决算具体情况说明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_Toc31503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_Toc13279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_Toc13279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_Toc22701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rPr>
            <w:t>九、</w:t>
          </w:r>
          <w:r>
            <w:rPr>
              <w:rFonts w:hint="eastAsia" w:ascii="仿宋" w:hAnsi="仿宋" w:eastAsia="仿宋" w:cs="仿宋"/>
              <w:sz w:val="28"/>
              <w:szCs w:val="28"/>
              <w:highlight w:val="none"/>
            </w:rPr>
            <w:t>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_Toc22701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_Toc21815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rPr>
            <w:t>十、</w:t>
          </w:r>
          <w:r>
            <w:rPr>
              <w:rFonts w:hint="eastAsia" w:ascii="仿宋" w:hAnsi="仿宋" w:eastAsia="仿宋" w:cs="仿宋"/>
              <w:sz w:val="28"/>
              <w:szCs w:val="28"/>
              <w:highlight w:val="none"/>
              <w:lang w:val="en-US" w:eastAsia="zh-CN"/>
            </w:rPr>
            <w:t>预算绩效管理情况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_Toc21815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_Toc21675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rPr>
            <w:t>十一、</w:t>
          </w:r>
          <w:r>
            <w:rPr>
              <w:rFonts w:hint="eastAsia" w:ascii="仿宋" w:hAnsi="仿宋" w:eastAsia="仿宋" w:cs="仿宋"/>
              <w:sz w:val="28"/>
              <w:szCs w:val="28"/>
              <w:highlight w:val="none"/>
            </w:rPr>
            <w:t>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_Toc21675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_Toc5447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（一）机关运行经费支出情况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_Toc5447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_Toc31732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（二）政府采购支出情况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_Toc31732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9"/>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_Toc24094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（三）国有资产占有使用情况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_Toc24094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_Toc1537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部分 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_Toc12387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第四部分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_Toc12387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3"/>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_Toc25482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第五部分 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_Toc25482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_Toc10717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一、收</w:t>
          </w:r>
          <w:r>
            <w:rPr>
              <w:rFonts w:hint="eastAsia" w:ascii="仿宋" w:hAnsi="仿宋" w:eastAsia="仿宋" w:cs="仿宋"/>
              <w:bCs w:val="0"/>
              <w:sz w:val="28"/>
              <w:szCs w:val="28"/>
              <w:highlight w:val="none"/>
            </w:rPr>
            <w:t>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_Toc10717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_Toc4993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二、收</w:t>
          </w:r>
          <w:r>
            <w:rPr>
              <w:rFonts w:hint="eastAsia" w:ascii="仿宋" w:hAnsi="仿宋" w:eastAsia="仿宋" w:cs="仿宋"/>
              <w:bCs w:val="0"/>
              <w:sz w:val="28"/>
              <w:szCs w:val="28"/>
              <w:highlight w:val="none"/>
            </w:rPr>
            <w:t>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_Toc4993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_Toc19693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三、</w:t>
          </w:r>
          <w:r>
            <w:rPr>
              <w:rFonts w:hint="eastAsia" w:ascii="仿宋" w:hAnsi="仿宋" w:eastAsia="仿宋" w:cs="仿宋"/>
              <w:sz w:val="28"/>
              <w:szCs w:val="28"/>
              <w:highlight w:val="none"/>
            </w:rPr>
            <w:t>支</w:t>
          </w:r>
          <w:r>
            <w:rPr>
              <w:rFonts w:hint="eastAsia" w:ascii="仿宋" w:hAnsi="仿宋" w:eastAsia="仿宋" w:cs="仿宋"/>
              <w:bCs w:val="0"/>
              <w:sz w:val="28"/>
              <w:szCs w:val="28"/>
              <w:highlight w:val="none"/>
            </w:rPr>
            <w:t>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_Toc19693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_Toc30993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四、</w:t>
          </w:r>
          <w:r>
            <w:rPr>
              <w:rFonts w:hint="eastAsia" w:ascii="仿宋" w:hAnsi="仿宋" w:eastAsia="仿宋" w:cs="仿宋"/>
              <w:sz w:val="28"/>
              <w:szCs w:val="28"/>
              <w:highlight w:val="none"/>
            </w:rPr>
            <w:t>财</w:t>
          </w:r>
          <w:r>
            <w:rPr>
              <w:rFonts w:hint="eastAsia" w:ascii="仿宋" w:hAnsi="仿宋" w:eastAsia="仿宋" w:cs="仿宋"/>
              <w:bCs w:val="0"/>
              <w:sz w:val="28"/>
              <w:szCs w:val="28"/>
              <w:highlight w:val="none"/>
            </w:rPr>
            <w:t>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_Toc30993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_Toc31005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五、</w:t>
          </w:r>
          <w:r>
            <w:rPr>
              <w:rFonts w:hint="eastAsia" w:ascii="仿宋" w:hAnsi="仿宋" w:eastAsia="仿宋" w:cs="仿宋"/>
              <w:sz w:val="28"/>
              <w:szCs w:val="28"/>
              <w:highlight w:val="none"/>
            </w:rPr>
            <w:t>财</w:t>
          </w:r>
          <w:r>
            <w:rPr>
              <w:rFonts w:hint="eastAsia" w:ascii="仿宋" w:hAnsi="仿宋" w:eastAsia="仿宋" w:cs="仿宋"/>
              <w:bCs w:val="0"/>
              <w:sz w:val="28"/>
              <w:szCs w:val="28"/>
              <w:highlight w:val="none"/>
            </w:rPr>
            <w:t>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_Toc31005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_Toc639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六、</w:t>
          </w:r>
          <w:r>
            <w:rPr>
              <w:rFonts w:hint="eastAsia" w:ascii="仿宋" w:hAnsi="仿宋" w:eastAsia="仿宋" w:cs="仿宋"/>
              <w:sz w:val="28"/>
              <w:szCs w:val="28"/>
              <w:highlight w:val="none"/>
            </w:rPr>
            <w:t>一</w:t>
          </w:r>
          <w:r>
            <w:rPr>
              <w:rFonts w:hint="eastAsia" w:ascii="仿宋" w:hAnsi="仿宋" w:eastAsia="仿宋" w:cs="仿宋"/>
              <w:bCs w:val="0"/>
              <w:sz w:val="28"/>
              <w:szCs w:val="28"/>
              <w:highlight w:val="none"/>
            </w:rPr>
            <w:t>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_Toc17658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七、</w:t>
          </w:r>
          <w:r>
            <w:rPr>
              <w:rFonts w:hint="eastAsia" w:ascii="仿宋" w:hAnsi="仿宋" w:eastAsia="仿宋" w:cs="仿宋"/>
              <w:sz w:val="28"/>
              <w:szCs w:val="28"/>
              <w:highlight w:val="none"/>
            </w:rPr>
            <w:t>一</w:t>
          </w:r>
          <w:r>
            <w:rPr>
              <w:rFonts w:hint="eastAsia" w:ascii="仿宋" w:hAnsi="仿宋" w:eastAsia="仿宋" w:cs="仿宋"/>
              <w:bCs w:val="0"/>
              <w:sz w:val="28"/>
              <w:szCs w:val="28"/>
              <w:highlight w:val="none"/>
            </w:rPr>
            <w:t>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_Toc17658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_Toc12311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八、</w:t>
          </w:r>
          <w:r>
            <w:rPr>
              <w:rFonts w:hint="eastAsia" w:ascii="仿宋" w:hAnsi="仿宋" w:eastAsia="仿宋" w:cs="仿宋"/>
              <w:sz w:val="28"/>
              <w:szCs w:val="28"/>
              <w:highlight w:val="none"/>
            </w:rPr>
            <w:t>一</w:t>
          </w:r>
          <w:r>
            <w:rPr>
              <w:rFonts w:hint="eastAsia" w:ascii="仿宋" w:hAnsi="仿宋" w:eastAsia="仿宋" w:cs="仿宋"/>
              <w:bCs w:val="0"/>
              <w:sz w:val="28"/>
              <w:szCs w:val="28"/>
              <w:highlight w:val="none"/>
            </w:rPr>
            <w:t>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_Toc12311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_Toc11206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九、</w:t>
          </w:r>
          <w:r>
            <w:rPr>
              <w:rFonts w:hint="eastAsia" w:ascii="仿宋" w:hAnsi="仿宋" w:eastAsia="仿宋" w:cs="仿宋"/>
              <w:sz w:val="28"/>
              <w:szCs w:val="28"/>
              <w:highlight w:val="none"/>
            </w:rPr>
            <w:t>一</w:t>
          </w:r>
          <w:r>
            <w:rPr>
              <w:rFonts w:hint="eastAsia" w:ascii="仿宋" w:hAnsi="仿宋" w:eastAsia="仿宋" w:cs="仿宋"/>
              <w:bCs w:val="0"/>
              <w:sz w:val="28"/>
              <w:szCs w:val="28"/>
              <w:highlight w:val="none"/>
            </w:rPr>
            <w:t>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_Toc11206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_Toc17299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十、</w:t>
          </w:r>
          <w:r>
            <w:rPr>
              <w:rFonts w:hint="eastAsia" w:ascii="仿宋" w:hAnsi="仿宋" w:eastAsia="仿宋" w:cs="仿宋"/>
              <w:sz w:val="28"/>
              <w:szCs w:val="28"/>
              <w:highlight w:val="none"/>
            </w:rPr>
            <w:t>一</w:t>
          </w:r>
          <w:r>
            <w:rPr>
              <w:rFonts w:hint="eastAsia" w:ascii="仿宋" w:hAnsi="仿宋" w:eastAsia="仿宋" w:cs="仿宋"/>
              <w:bCs w:val="0"/>
              <w:sz w:val="28"/>
              <w:szCs w:val="28"/>
              <w:highlight w:val="none"/>
            </w:rPr>
            <w:t>般公共预算财政拨款“三公”经费支出决算表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_Toc17299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_Toc21968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十一、</w:t>
          </w:r>
          <w:r>
            <w:rPr>
              <w:rFonts w:hint="eastAsia" w:ascii="仿宋" w:hAnsi="仿宋" w:eastAsia="仿宋" w:cs="仿宋"/>
              <w:sz w:val="28"/>
              <w:szCs w:val="28"/>
              <w:highlight w:val="none"/>
            </w:rPr>
            <w:t>政</w:t>
          </w:r>
          <w:r>
            <w:rPr>
              <w:rFonts w:hint="eastAsia" w:ascii="仿宋" w:hAnsi="仿宋" w:eastAsia="仿宋" w:cs="仿宋"/>
              <w:bCs w:val="0"/>
              <w:sz w:val="28"/>
              <w:szCs w:val="28"/>
              <w:highlight w:val="none"/>
            </w:rPr>
            <w:t>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_Toc21968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_Toc25497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十二、</w:t>
          </w:r>
          <w:r>
            <w:rPr>
              <w:rFonts w:hint="eastAsia" w:ascii="仿宋" w:hAnsi="仿宋" w:eastAsia="仿宋" w:cs="仿宋"/>
              <w:sz w:val="28"/>
              <w:szCs w:val="28"/>
              <w:highlight w:val="none"/>
            </w:rPr>
            <w:t>政</w:t>
          </w:r>
          <w:r>
            <w:rPr>
              <w:rFonts w:hint="eastAsia" w:ascii="仿宋" w:hAnsi="仿宋" w:eastAsia="仿宋" w:cs="仿宋"/>
              <w:bCs w:val="0"/>
              <w:sz w:val="28"/>
              <w:szCs w:val="28"/>
              <w:highlight w:val="none"/>
            </w:rPr>
            <w:t>府性基金预算财政拨款“三公”经费支出决算表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_Toc25497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_Toc14449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rPr>
            <w:t>十三、</w:t>
          </w:r>
          <w:r>
            <w:rPr>
              <w:rFonts w:hint="eastAsia" w:ascii="仿宋" w:hAnsi="仿宋" w:eastAsia="仿宋" w:cs="仿宋"/>
              <w:sz w:val="28"/>
              <w:szCs w:val="28"/>
              <w:highlight w:val="none"/>
            </w:rPr>
            <w:t>国</w:t>
          </w:r>
          <w:r>
            <w:rPr>
              <w:rFonts w:hint="eastAsia" w:ascii="仿宋" w:hAnsi="仿宋" w:eastAsia="仿宋" w:cs="仿宋"/>
              <w:bCs w:val="0"/>
              <w:sz w:val="28"/>
              <w:szCs w:val="28"/>
              <w:highlight w:val="none"/>
            </w:rPr>
            <w:t>有资本经营预算</w:t>
          </w:r>
          <w:r>
            <w:rPr>
              <w:rFonts w:hint="eastAsia" w:ascii="仿宋" w:hAnsi="仿宋" w:eastAsia="仿宋" w:cs="仿宋"/>
              <w:bCs w:val="0"/>
              <w:sz w:val="28"/>
              <w:szCs w:val="28"/>
              <w:highlight w:val="none"/>
              <w:lang w:eastAsia="zh-CN"/>
            </w:rPr>
            <w:t>财政拨款收入</w:t>
          </w:r>
          <w:r>
            <w:rPr>
              <w:rFonts w:hint="eastAsia" w:ascii="仿宋" w:hAnsi="仿宋" w:eastAsia="仿宋" w:cs="仿宋"/>
              <w:bCs w:val="0"/>
              <w:sz w:val="28"/>
              <w:szCs w:val="28"/>
              <w:highlight w:val="none"/>
            </w:rPr>
            <w:t>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_Toc14449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pPr>
            <w:pStyle w:val="14"/>
            <w:tabs>
              <w:tab w:val="right" w:leader="dot" w:pos="8306"/>
              <w:tab w:val="clear" w:pos="8296"/>
            </w:tabs>
            <w:rPr>
              <w:rFonts w:hint="eastAsia" w:ascii="黑体" w:hAnsi="黑体" w:eastAsia="黑体"/>
              <w:b w:val="0"/>
              <w:bCs/>
              <w:color w:val="auto"/>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_Toc7232 </w:instrText>
          </w:r>
          <w:r>
            <w:rPr>
              <w:rFonts w:hint="eastAsia" w:ascii="仿宋" w:hAnsi="仿宋" w:eastAsia="仿宋" w:cs="仿宋"/>
              <w:bCs/>
              <w:sz w:val="28"/>
              <w:szCs w:val="28"/>
              <w:highlight w:val="none"/>
            </w:rPr>
            <w:fldChar w:fldCharType="separate"/>
          </w:r>
          <w:r>
            <w:rPr>
              <w:rFonts w:hint="eastAsia" w:ascii="仿宋" w:hAnsi="仿宋" w:eastAsia="仿宋" w:cs="仿宋"/>
              <w:bCs w:val="0"/>
              <w:sz w:val="28"/>
              <w:szCs w:val="28"/>
              <w:highlight w:val="none"/>
              <w:lang w:eastAsia="zh-CN"/>
            </w:rPr>
            <w:t>十四、国有资本经营预算财政拨款支出决算表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_Toc7232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Cs w:val="28"/>
              <w:highlight w:val="none"/>
            </w:rPr>
            <w:fldChar w:fldCharType="end"/>
          </w:r>
        </w:p>
      </w:sdtContent>
    </w:sdt>
    <w:p>
      <w:pPr>
        <w:pStyle w:val="2"/>
        <w:rPr>
          <w:rFonts w:hint="eastAsia" w:ascii="黑体" w:hAnsi="黑体" w:eastAsia="黑体"/>
          <w:b w:val="0"/>
          <w:bCs/>
          <w:color w:val="auto"/>
          <w:highlight w:val="none"/>
        </w:rPr>
      </w:pPr>
    </w:p>
    <w:p>
      <w:pPr>
        <w:pStyle w:val="4"/>
        <w:numPr>
          <w:ilvl w:val="0"/>
          <w:numId w:val="0"/>
        </w:numPr>
        <w:jc w:val="center"/>
        <w:outlineLvl w:val="9"/>
        <w:rPr>
          <w:rFonts w:hint="eastAsia" w:ascii="黑体" w:hAnsi="黑体" w:eastAsia="黑体"/>
          <w:b w:val="0"/>
          <w:bCs/>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4"/>
        <w:numPr>
          <w:ilvl w:val="0"/>
          <w:numId w:val="0"/>
        </w:numPr>
        <w:jc w:val="center"/>
        <w:rPr>
          <w:rStyle w:val="28"/>
          <w:rFonts w:hint="eastAsia" w:ascii="黑体" w:hAnsi="黑体" w:eastAsia="黑体"/>
          <w:b w:val="0"/>
          <w:bCs w:val="0"/>
          <w:color w:val="auto"/>
          <w:highlight w:val="none"/>
        </w:rPr>
      </w:pPr>
      <w:bookmarkStart w:id="12" w:name="_Toc17906"/>
      <w:r>
        <w:rPr>
          <w:rFonts w:hint="eastAsia" w:ascii="黑体" w:hAnsi="黑体" w:eastAsia="黑体"/>
          <w:b w:val="0"/>
          <w:bCs/>
          <w:color w:val="auto"/>
          <w:highlight w:val="none"/>
        </w:rPr>
        <w:t>第</w:t>
      </w:r>
      <w:r>
        <w:rPr>
          <w:rFonts w:hint="eastAsia" w:ascii="黑体" w:hAnsi="黑体" w:eastAsia="黑体"/>
          <w:b w:val="0"/>
          <w:bCs/>
          <w:color w:val="auto"/>
          <w:highlight w:val="none"/>
          <w:lang w:eastAsia="zh-CN"/>
        </w:rPr>
        <w:t>一</w:t>
      </w:r>
      <w:r>
        <w:rPr>
          <w:rFonts w:hint="eastAsia" w:ascii="黑体" w:hAnsi="黑体" w:eastAsia="黑体"/>
          <w:b w:val="0"/>
          <w:bCs/>
          <w:color w:val="auto"/>
          <w:highlight w:val="none"/>
        </w:rPr>
        <w:t xml:space="preserve">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2"/>
    </w:p>
    <w:p>
      <w:pPr>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Style w:val="29"/>
          <w:rFonts w:hint="eastAsia" w:ascii="黑体" w:hAnsi="黑体" w:eastAsia="黑体"/>
          <w:b w:val="0"/>
          <w:bCs w:val="0"/>
          <w:color w:val="auto"/>
          <w:highlight w:val="none"/>
          <w:lang w:eastAsia="zh-CN"/>
        </w:rPr>
      </w:pPr>
      <w:bookmarkStart w:id="13" w:name="_Toc17736"/>
      <w:bookmarkStart w:id="14" w:name="_Toc15377197"/>
      <w:bookmarkStart w:id="15" w:name="_Toc15396600"/>
      <w:r>
        <w:rPr>
          <w:rStyle w:val="29"/>
          <w:rFonts w:hint="eastAsia" w:ascii="黑体" w:hAnsi="黑体" w:eastAsia="黑体"/>
          <w:b w:val="0"/>
          <w:bCs w:val="0"/>
          <w:color w:val="auto"/>
          <w:highlight w:val="none"/>
          <w:lang w:eastAsia="zh-CN"/>
        </w:rPr>
        <w:t>一、</w:t>
      </w:r>
      <w:r>
        <w:rPr>
          <w:rStyle w:val="29"/>
          <w:rFonts w:hint="eastAsia" w:ascii="黑体" w:hAnsi="黑体" w:eastAsia="黑体"/>
          <w:b w:val="0"/>
          <w:bCs w:val="0"/>
          <w:color w:val="auto"/>
          <w:highlight w:val="none"/>
        </w:rPr>
        <w:t>职能</w:t>
      </w:r>
      <w:r>
        <w:rPr>
          <w:rStyle w:val="29"/>
          <w:rFonts w:hint="eastAsia" w:ascii="黑体" w:hAnsi="黑体" w:eastAsia="黑体"/>
          <w:b w:val="0"/>
          <w:bCs w:val="0"/>
          <w:color w:val="auto"/>
          <w:highlight w:val="none"/>
          <w:lang w:eastAsia="zh-CN"/>
        </w:rPr>
        <w:t>简介</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仿宋_GB2312" w:eastAsia="仿宋_GB2312" w:cs="仿宋_GB2312"/>
          <w:sz w:val="32"/>
          <w:szCs w:val="32"/>
          <w:lang w:eastAsia="zh-CN"/>
        </w:rPr>
        <w:t>殡葬管理所</w:t>
      </w:r>
      <w:r>
        <w:rPr>
          <w:rFonts w:hint="eastAsia" w:ascii="仿宋_GB2312" w:hAnsi="仿宋_GB2312" w:eastAsia="仿宋_GB2312" w:cs="仿宋_GB2312"/>
          <w:sz w:val="32"/>
          <w:szCs w:val="32"/>
        </w:rPr>
        <w:t>是广元市民政局下属单位，为</w:t>
      </w:r>
      <w:r>
        <w:rPr>
          <w:rFonts w:hint="eastAsia" w:ascii="仿宋_GB2312" w:hAnsi="仿宋_GB2312" w:eastAsia="仿宋_GB2312" w:cs="仿宋_GB2312"/>
          <w:sz w:val="32"/>
          <w:szCs w:val="32"/>
          <w:lang w:eastAsia="zh-CN"/>
        </w:rPr>
        <w:t>正科级</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广元市殡葬管理所</w:t>
      </w:r>
      <w:r>
        <w:rPr>
          <w:rFonts w:hint="eastAsia" w:ascii="仿宋_GB2312" w:hAnsi="仿宋_GB2312" w:eastAsia="仿宋_GB2312" w:cs="仿宋_GB2312"/>
          <w:sz w:val="32"/>
          <w:szCs w:val="32"/>
        </w:rPr>
        <w:t>贯彻落实党中央关于民政工作的方针政策和省委、市委的决策部署，在履行职责过程中坚持和加强党对民政工作的集中统一领导。主要职责是：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1.贯彻、执行《国务院殡葬管理条例》《四川省殡葬管理条例》《四川公墓管理条例》及相关殡葬改革有关政策。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2.掌握全市殡葬改革情况，制定殡葬监管执法工作有关计划规划。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3.负责监督管理全市殡葬活动，依法查处违法违规行为。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4.负责全市殡仪馆、公墓、墓地、骨灰存（安）放处（室、堂）等殡葬服务单位的管理、监督、检查。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5.负责市本级殡葬救助和无名尸体火化费的审定和使用管理工作，尸体异地火化的管理工作。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6.负责全市火化证的统一印制和管理工作。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7.负责全市殡葬行业前置准入审批工作，指导市殡葬行业协会开展工作。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lang w:val="en-US" w:eastAsia="zh-CN"/>
        </w:rPr>
      </w:pPr>
    </w:p>
    <w:p>
      <w:pPr>
        <w:pStyle w:val="5"/>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1"/>
        <w:rPr>
          <w:rFonts w:hint="eastAsia" w:ascii="黑体" w:hAnsi="黑体" w:eastAsia="黑体"/>
          <w:b w:val="0"/>
          <w:color w:val="auto"/>
          <w:highlight w:val="none"/>
        </w:rPr>
      </w:pPr>
      <w:bookmarkStart w:id="16" w:name="_Toc2711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楷体" w:hAnsi="楷体" w:eastAsia="楷体" w:cs="楷体"/>
          <w:b w:val="0"/>
          <w:bCs w:val="0"/>
          <w:kern w:val="0"/>
          <w:sz w:val="32"/>
          <w:szCs w:val="32"/>
          <w:lang w:val="en-US" w:eastAsia="zh-CN"/>
        </w:rPr>
        <w:t>（一）抓好对市殡仪馆的监管工作。</w:t>
      </w:r>
      <w:r>
        <w:rPr>
          <w:rFonts w:hint="eastAsia" w:ascii="仿宋" w:hAnsi="仿宋" w:eastAsia="仿宋" w:cs="仿宋"/>
          <w:b w:val="0"/>
          <w:bCs w:val="0"/>
          <w:kern w:val="0"/>
          <w:sz w:val="32"/>
          <w:szCs w:val="32"/>
          <w:lang w:val="en-US" w:eastAsia="zh-CN"/>
        </w:rPr>
        <w:t>我所加强与广元龙德殡仪服务有限公司的沟通和协调，配合出台殡葬惠民免费活动办法，对未纳入殡葬救助的特困及特殊群体予以火化惠民免费5具。推进“我为群众办实事”活动，会同市发改价格管理部门，出台《关于规范广元市殡仪馆服务收费的通知》（广发改函〔2021〕53号），对市殡仪馆服务项目收费标准开展专项整治。对2013年批复的24个一级项目，34个子项目进行了规范调整。此次调整后基本服务和延伸服务共有一级项目23个，子项目49个；下调基本项目22个，持平项目20个，上调项目5个，新增项目2个。通过简化合并项目、明晰服务内涵，保证市殡仪馆中低价位殡葬服务和用品足量提供，再次促进了广元龙德殡仪服务公司规范自身治理水平，有效禁止诱导、捆绑、强制消费，切实维护治丧群众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楷体" w:hAnsi="楷体" w:eastAsia="楷体" w:cs="楷体"/>
          <w:b w:val="0"/>
          <w:bCs w:val="0"/>
          <w:kern w:val="0"/>
          <w:sz w:val="32"/>
          <w:szCs w:val="32"/>
          <w:lang w:val="en-US" w:eastAsia="zh-CN"/>
        </w:rPr>
        <w:t>（二）做好全市清明节祭祀管理。</w:t>
      </w:r>
      <w:r>
        <w:rPr>
          <w:rFonts w:hint="eastAsia" w:ascii="仿宋" w:hAnsi="仿宋" w:eastAsia="仿宋" w:cs="仿宋"/>
          <w:b w:val="0"/>
          <w:bCs w:val="0"/>
          <w:kern w:val="0"/>
          <w:sz w:val="32"/>
          <w:szCs w:val="32"/>
          <w:lang w:val="en-US" w:eastAsia="zh-CN"/>
        </w:rPr>
        <w:t>今年清明节期间，我市殡葬服务机构共接待祭扫群众5.57万人次，祭扫车辆5756台次。一是织牢祭扫安全防护网。市局组成督查组，在全市开展拉网式隐患大排查，拆除关停焚烧池5口。配合林草部门对机构外集中安葬点、散埋乱葬点等区域的火灾隐患开展排查整治11处。组织全市殡葬服务机构负责人和安全工作责任人，在剑阁县开展清明节安全祭扫保障培训，举办消防安全知识讲座，开展防火应急演练。二是引导管控错峰祭扫。全面推广使用“仁孝四川绿色祭奠”祭扫微信小程序，严格做好入园祭扫人群的实名登记、测量体温、查验健康通码、佩戴口罩等防控工作。三是深化绿色惠民殡葬措施。组织市雪峰公墓、八卦山公墓等4家公墓向全市捐赠110个树葬、花葬、草坪葬、壁葬等生态墓葬位。在全市投入8万元专项资金集中开展“鲜花换纸炮”活动，发放鲜花15000枝。四是广泛文明宣传。启动“文明殡葬宣传月”，开展“文明祭祀、平安清明”宣传活动，在全市设15个广场宣传点，悬挂宣传标语150余幅，发放宣传资料5万余份，张贴规范祭祀通告7000余张，设置指引牌1000个，出动宣传车280余台次，深入乡镇（街道）和社区开展殡改宣传。五是优化提升殡葬服务。开展“殡葬优质服务月”活动，设置15个便民服务点和应急救助临时服务点，免费寄存物品百余件，免费提供简单药品、开水、清洁工具300余次，全市殡葬战线职工放弃休假，在岗值守全程参与祭扫保障工作，受到群众广泛好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楷体" w:hAnsi="楷体" w:eastAsia="楷体" w:cs="楷体"/>
          <w:b w:val="0"/>
          <w:bCs w:val="0"/>
          <w:kern w:val="0"/>
          <w:sz w:val="32"/>
          <w:szCs w:val="32"/>
          <w:lang w:val="en-US" w:eastAsia="zh-CN"/>
        </w:rPr>
        <w:t>（三）做好新冠肺炎疫情常态化防控工作。</w:t>
      </w:r>
      <w:r>
        <w:rPr>
          <w:rFonts w:hint="eastAsia" w:ascii="仿宋" w:hAnsi="仿宋" w:eastAsia="仿宋" w:cs="仿宋"/>
          <w:b w:val="0"/>
          <w:bCs w:val="0"/>
          <w:kern w:val="0"/>
          <w:sz w:val="32"/>
          <w:szCs w:val="32"/>
          <w:lang w:val="en-US" w:eastAsia="zh-CN"/>
        </w:rPr>
        <w:t>准确研判形势，加强入境和国内中高风险地区来（返）广人员排查和信息报告工作，严防疫情输入。督查指导全市殡葬服务机构严格落实日常清洁、消毒和通风设施，对出入场馆的人员，落实佩戴口罩、测温、扫码等措施，指导制定疫情防控方案和应急预案。截至目前，单位全员完成疫苗接种。在全市安排的防疫值守工作中，8月初抽派专人到上西火车站值守3个半月；11月中旬协防利州区疫情防控工作指挥部，到天立学校值守18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楷体" w:hAnsi="楷体" w:eastAsia="楷体" w:cs="楷体"/>
          <w:b w:val="0"/>
          <w:bCs w:val="0"/>
          <w:kern w:val="0"/>
          <w:sz w:val="32"/>
          <w:szCs w:val="32"/>
          <w:lang w:val="en-US" w:eastAsia="zh-CN"/>
        </w:rPr>
        <w:t>（四）做好提案回复办理。</w:t>
      </w:r>
      <w:r>
        <w:rPr>
          <w:rFonts w:hint="eastAsia" w:ascii="仿宋" w:hAnsi="仿宋" w:eastAsia="仿宋" w:cs="仿宋"/>
          <w:b w:val="0"/>
          <w:bCs w:val="0"/>
          <w:kern w:val="0"/>
          <w:sz w:val="32"/>
          <w:szCs w:val="32"/>
          <w:lang w:val="en-US" w:eastAsia="zh-CN"/>
        </w:rPr>
        <w:t>接到政协第66号提案和人大第80号建议后，及时与提案建议人联系沟通，认真办理回复，经入户访问当面交流，各提案建议人表示很满意，目前已全部办结。</w:t>
      </w:r>
    </w:p>
    <w:p>
      <w:pPr>
        <w:pStyle w:val="4"/>
        <w:ind w:right="440"/>
        <w:jc w:val="center"/>
        <w:rPr>
          <w:rStyle w:val="28"/>
          <w:rFonts w:ascii="黑体" w:hAnsi="黑体" w:eastAsia="黑体"/>
          <w:b w:val="0"/>
          <w:bCs/>
          <w:color w:val="auto"/>
          <w:highlight w:val="none"/>
        </w:rPr>
      </w:pPr>
      <w:bookmarkStart w:id="17" w:name="_Toc15894"/>
      <w:bookmarkStart w:id="18" w:name="_Toc15396602"/>
      <w:bookmarkStart w:id="19" w:name="_Toc15377204"/>
      <w:r>
        <w:rPr>
          <w:rFonts w:hint="eastAsia" w:ascii="黑体" w:hAnsi="黑体" w:eastAsia="黑体"/>
          <w:b w:val="0"/>
          <w:bCs/>
          <w:color w:val="auto"/>
          <w:highlight w:val="none"/>
          <w:lang w:val="en-US" w:eastAsia="zh-CN"/>
        </w:rPr>
        <w:t xml:space="preserve">  </w:t>
      </w: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17"/>
      <w:bookmarkEnd w:id="18"/>
      <w:bookmarkEnd w:id="19"/>
    </w:p>
    <w:p>
      <w:pPr>
        <w:rPr>
          <w:rFonts w:hint="eastAsia"/>
          <w:lang w:val="en-US" w:eastAsia="zh-CN"/>
        </w:rPr>
      </w:pPr>
      <w:bookmarkStart w:id="105" w:name="_GoBack"/>
      <w:bookmarkEnd w:id="105"/>
    </w:p>
    <w:p>
      <w:pPr>
        <w:pStyle w:val="27"/>
        <w:keepNext w:val="0"/>
        <w:keepLines w:val="0"/>
        <w:pageBreakBefore w:val="0"/>
        <w:numPr>
          <w:ilvl w:val="0"/>
          <w:numId w:val="0"/>
        </w:numPr>
        <w:kinsoku/>
        <w:wordWrap/>
        <w:overflowPunct/>
        <w:topLinePunct w:val="0"/>
        <w:bidi w:val="0"/>
        <w:snapToGrid/>
        <w:spacing w:line="576" w:lineRule="exact"/>
        <w:ind w:left="640" w:leftChars="0"/>
        <w:outlineLvl w:val="1"/>
        <w:rPr>
          <w:rStyle w:val="29"/>
          <w:rFonts w:ascii="黑体" w:hAnsi="黑体" w:eastAsia="黑体"/>
          <w:b w:val="0"/>
          <w:color w:val="auto"/>
          <w:highlight w:val="none"/>
        </w:rPr>
      </w:pPr>
      <w:bookmarkStart w:id="20" w:name="_Toc15768"/>
      <w:bookmarkStart w:id="21" w:name="_Toc15396603"/>
      <w:bookmarkStart w:id="22"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2021年度收、支总计233.75万元</w:t>
      </w:r>
      <w:r>
        <w:rPr>
          <w:rFonts w:hint="eastAsia" w:ascii="仿宋_GB2312" w:hAnsi="仿宋_GB2312" w:eastAsia="仿宋_GB2312" w:cs="仿宋_GB2312"/>
          <w:sz w:val="32"/>
          <w:szCs w:val="32"/>
        </w:rPr>
        <w:t>（含上年结转</w:t>
      </w:r>
      <w:r>
        <w:rPr>
          <w:rFonts w:hint="eastAsia" w:ascii="仿宋_GB2312" w:hAnsi="仿宋_GB2312" w:eastAsia="仿宋_GB2312" w:cs="仿宋_GB2312"/>
          <w:sz w:val="32"/>
          <w:szCs w:val="32"/>
          <w:lang w:val="en-US" w:eastAsia="zh-CN"/>
        </w:rPr>
        <w:t>26.22</w:t>
      </w:r>
      <w:r>
        <w:rPr>
          <w:rFonts w:hint="eastAsia" w:ascii="仿宋_GB2312" w:hAnsi="仿宋_GB2312" w:eastAsia="仿宋_GB2312" w:cs="仿宋_GB2312"/>
          <w:sz w:val="32"/>
          <w:szCs w:val="32"/>
        </w:rPr>
        <w:t>万元）</w:t>
      </w:r>
      <w:r>
        <w:rPr>
          <w:rFonts w:hint="eastAsia" w:ascii="仿宋" w:hAnsi="仿宋" w:eastAsia="仿宋" w:cs="仿宋"/>
          <w:b w:val="0"/>
          <w:bCs w:val="0"/>
          <w:kern w:val="0"/>
          <w:sz w:val="32"/>
          <w:szCs w:val="32"/>
          <w:lang w:val="en-US" w:eastAsia="zh-CN"/>
        </w:rPr>
        <w:t>。与2020年相比，收、支总计各减少14.62万元，下降5.89%。主要变动原因是人员变动、公务支出的压减、生存环境及社会环境的改善和医疗水平的提高。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pict>
          <v:shape id="_x0000_s1026" o:spid="_x0000_s1026" o:spt="75" type="#_x0000_t75" style="position:absolute;left:0pt;margin-left:26.95pt;margin-top:4.7pt;height:187.6pt;width:329.65pt;z-index:251659264;mso-width-relative:page;mso-height-relative:page;" o:ole="t" filled="f" o:preferrelative="t" stroked="f" coordsize="21600,21600">
            <v:path/>
            <v:fill on="f" focussize="0,0"/>
            <v:stroke on="f"/>
            <v:imagedata r:id="rId11" o:title=""/>
            <o:lock v:ext="edit" aspectratio="t"/>
          </v:shape>
          <o:OLEObject Type="Embed" ProgID="Excel.Chart.8" ShapeID="_x0000_s1026" DrawAspect="Content" ObjectID="_1468075725" r:id="rId10">
            <o:LockedField>false</o:LockedField>
          </o:OLEObject>
        </w:pict>
      </w:r>
    </w:p>
    <w:p>
      <w:pPr>
        <w:pStyle w:val="7"/>
        <w:keepNext w:val="0"/>
        <w:keepLines w:val="0"/>
        <w:pageBreakBefore w:val="0"/>
        <w:kinsoku/>
        <w:wordWrap/>
        <w:overflowPunct/>
        <w:topLinePunct w:val="0"/>
        <w:bidi w:val="0"/>
        <w:snapToGrid/>
        <w:spacing w:line="576" w:lineRule="exact"/>
        <w:rPr>
          <w:rFonts w:hint="eastAsia" w:ascii="仿宋" w:hAnsi="仿宋" w:eastAsia="仿宋"/>
          <w:color w:val="auto"/>
          <w:sz w:val="32"/>
          <w:szCs w:val="32"/>
          <w:highlight w:val="none"/>
          <w:lang w:eastAsia="zh-CN"/>
        </w:rPr>
      </w:pPr>
    </w:p>
    <w:p>
      <w:pPr>
        <w:keepNext w:val="0"/>
        <w:keepLines w:val="0"/>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pStyle w:val="7"/>
        <w:keepNext w:val="0"/>
        <w:keepLines w:val="0"/>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both"/>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center"/>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pStyle w:val="27"/>
        <w:keepNext w:val="0"/>
        <w:keepLines w:val="0"/>
        <w:pageBreakBefore w:val="0"/>
        <w:numPr>
          <w:ilvl w:val="0"/>
          <w:numId w:val="0"/>
        </w:numPr>
        <w:kinsoku/>
        <w:wordWrap/>
        <w:overflowPunct/>
        <w:topLinePunct w:val="0"/>
        <w:bidi w:val="0"/>
        <w:snapToGrid/>
        <w:spacing w:line="576" w:lineRule="exact"/>
        <w:ind w:left="640" w:leftChars="0"/>
        <w:outlineLvl w:val="1"/>
        <w:rPr>
          <w:rStyle w:val="29"/>
          <w:rFonts w:ascii="黑体" w:hAnsi="黑体" w:eastAsia="黑体"/>
          <w:b w:val="0"/>
          <w:color w:val="auto"/>
          <w:highlight w:val="none"/>
        </w:rPr>
      </w:pPr>
      <w:bookmarkStart w:id="23" w:name="_Toc17491"/>
      <w:bookmarkStart w:id="24" w:name="_Toc15396604"/>
      <w:bookmarkStart w:id="25"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2021年本年收入合计207.53万元，其中：一般公共预算财政拨款收入207.53万元，占100%。</w:t>
      </w:r>
    </w:p>
    <w:p>
      <w:pPr>
        <w:keepNext w:val="0"/>
        <w:keepLines w:val="0"/>
        <w:pageBreakBefore w:val="0"/>
        <w:kinsoku/>
        <w:wordWrap/>
        <w:overflowPunct/>
        <w:topLinePunct w:val="0"/>
        <w:bidi w:val="0"/>
        <w:snapToGrid/>
        <w:spacing w:line="576" w:lineRule="exact"/>
        <w:ind w:firstLine="640" w:firstLineChars="200"/>
        <w:outlineLvl w:val="9"/>
        <w:rPr>
          <w:rFonts w:hint="eastAsia" w:ascii="仿宋" w:hAnsi="仿宋" w:eastAsia="仿宋"/>
          <w:color w:val="auto"/>
          <w:sz w:val="32"/>
          <w:szCs w:val="32"/>
          <w:highlight w:val="none"/>
          <w:lang w:eastAsia="zh-CN"/>
        </w:rPr>
      </w:pPr>
    </w:p>
    <w:p>
      <w:pPr>
        <w:pStyle w:val="2"/>
        <w:keepNext w:val="0"/>
        <w:keepLines w:val="0"/>
        <w:pageBreakBefore w:val="0"/>
        <w:kinsoku/>
        <w:wordWrap/>
        <w:overflowPunct/>
        <w:topLinePunct w:val="0"/>
        <w:bidi w:val="0"/>
        <w:snapToGrid/>
        <w:spacing w:line="576" w:lineRule="exact"/>
        <w:ind w:left="0" w:leftChars="0" w:firstLine="0" w:firstLineChars="0"/>
        <w:rPr>
          <w:rFonts w:hint="eastAsia" w:ascii="仿宋" w:hAnsi="仿宋" w:eastAsia="仿宋"/>
          <w:color w:val="auto"/>
          <w:sz w:val="32"/>
          <w:szCs w:val="32"/>
          <w:highlight w:val="none"/>
          <w:lang w:eastAsia="zh-CN"/>
        </w:rPr>
      </w:pPr>
    </w:p>
    <w:p>
      <w:pPr>
        <w:keepNext w:val="0"/>
        <w:keepLines w:val="0"/>
        <w:pageBreakBefore w:val="0"/>
        <w:kinsoku/>
        <w:wordWrap/>
        <w:overflowPunct/>
        <w:topLinePunct w:val="0"/>
        <w:bidi w:val="0"/>
        <w:snapToGrid/>
        <w:spacing w:line="576" w:lineRule="exact"/>
        <w:ind w:firstLine="640" w:firstLineChars="200"/>
        <w:outlineLvl w:val="9"/>
        <w:rPr>
          <w:rFonts w:hint="eastAsia" w:ascii="仿宋" w:hAnsi="仿宋" w:eastAsia="仿宋"/>
          <w:color w:val="auto"/>
          <w:sz w:val="32"/>
          <w:szCs w:val="32"/>
          <w:highlight w:val="none"/>
          <w:lang w:eastAsia="zh-CN"/>
        </w:rPr>
      </w:pPr>
    </w:p>
    <w:p>
      <w:pPr>
        <w:keepNext w:val="0"/>
        <w:keepLines w:val="0"/>
        <w:pageBreakBefore w:val="0"/>
        <w:kinsoku/>
        <w:wordWrap/>
        <w:overflowPunct/>
        <w:topLinePunct w:val="0"/>
        <w:bidi w:val="0"/>
        <w:snapToGrid/>
        <w:spacing w:line="576" w:lineRule="exact"/>
        <w:ind w:firstLine="640" w:firstLineChars="200"/>
        <w:outlineLvl w:val="9"/>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pict>
          <v:shape id="_x0000_s1027" o:spid="_x0000_s1027" o:spt="75" type="#_x0000_t75" style="position:absolute;left:0pt;margin-left:67.65pt;margin-top:-15.3pt;height:167.5pt;width:286.1pt;z-index:251660288;mso-width-relative:page;mso-height-relative:page;" o:ole="t" filled="f" o:preferrelative="t" stroked="f" coordsize="21600,21600">
            <v:path/>
            <v:fill on="f" focussize="0,0"/>
            <v:stroke on="f"/>
            <v:imagedata r:id="rId13" o:title=""/>
            <o:lock v:ext="edit" aspectratio="t"/>
          </v:shape>
          <o:OLEObject Type="Embed" ProgID="Excel.Chart.8" ShapeID="_x0000_s1027" DrawAspect="Content" ObjectID="_1468075726" r:id="rId12">
            <o:LockedField>false</o:LockedField>
          </o:OLEObject>
        </w:pict>
      </w:r>
    </w:p>
    <w:p>
      <w:pPr>
        <w:keepNext w:val="0"/>
        <w:keepLines w:val="0"/>
        <w:pageBreakBefore w:val="0"/>
        <w:kinsoku/>
        <w:wordWrap/>
        <w:overflowPunct/>
        <w:topLinePunct w:val="0"/>
        <w:bidi w:val="0"/>
        <w:snapToGrid/>
        <w:spacing w:line="576" w:lineRule="exact"/>
        <w:ind w:firstLine="640" w:firstLineChars="200"/>
        <w:outlineLvl w:val="9"/>
        <w:rPr>
          <w:rFonts w:hint="eastAsia" w:ascii="仿宋" w:hAnsi="仿宋" w:eastAsia="仿宋"/>
          <w:color w:val="auto"/>
          <w:sz w:val="32"/>
          <w:szCs w:val="32"/>
          <w:highlight w:val="none"/>
          <w:lang w:eastAsia="zh-CN"/>
        </w:rPr>
      </w:pPr>
    </w:p>
    <w:p>
      <w:pPr>
        <w:keepNext w:val="0"/>
        <w:keepLines w:val="0"/>
        <w:pageBreakBefore w:val="0"/>
        <w:kinsoku/>
        <w:wordWrap/>
        <w:overflowPunct/>
        <w:topLinePunct w:val="0"/>
        <w:bidi w:val="0"/>
        <w:snapToGrid/>
        <w:spacing w:line="576" w:lineRule="exact"/>
        <w:ind w:firstLine="640" w:firstLineChars="200"/>
        <w:outlineLvl w:val="9"/>
        <w:rPr>
          <w:rFonts w:hint="eastAsia" w:ascii="仿宋" w:hAnsi="仿宋" w:eastAsia="仿宋"/>
          <w:color w:val="auto"/>
          <w:sz w:val="32"/>
          <w:szCs w:val="32"/>
          <w:highlight w:val="none"/>
          <w:lang w:eastAsia="zh-CN"/>
        </w:rPr>
      </w:pPr>
    </w:p>
    <w:p>
      <w:pPr>
        <w:keepNext w:val="0"/>
        <w:keepLines w:val="0"/>
        <w:pageBreakBefore w:val="0"/>
        <w:kinsoku/>
        <w:wordWrap/>
        <w:overflowPunct/>
        <w:topLinePunct w:val="0"/>
        <w:bidi w:val="0"/>
        <w:snapToGrid/>
        <w:spacing w:line="576" w:lineRule="exact"/>
        <w:ind w:firstLine="640" w:firstLineChars="200"/>
        <w:outlineLvl w:val="9"/>
        <w:rPr>
          <w:rFonts w:hint="eastAsia" w:ascii="仿宋" w:hAnsi="仿宋" w:eastAsia="仿宋"/>
          <w:color w:val="auto"/>
          <w:sz w:val="32"/>
          <w:szCs w:val="32"/>
          <w:highlight w:val="none"/>
          <w:lang w:eastAsia="zh-CN"/>
        </w:rPr>
      </w:pPr>
    </w:p>
    <w:p>
      <w:pPr>
        <w:pStyle w:val="7"/>
        <w:keepNext w:val="0"/>
        <w:keepLines w:val="0"/>
        <w:pageBreakBefore w:val="0"/>
        <w:kinsoku/>
        <w:wordWrap/>
        <w:overflowPunct/>
        <w:topLinePunct w:val="0"/>
        <w:bidi w:val="0"/>
        <w:snapToGrid/>
        <w:spacing w:line="576" w:lineRule="exact"/>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pStyle w:val="27"/>
        <w:keepNext w:val="0"/>
        <w:keepLines w:val="0"/>
        <w:pageBreakBefore w:val="0"/>
        <w:numPr>
          <w:ilvl w:val="0"/>
          <w:numId w:val="0"/>
        </w:numPr>
        <w:kinsoku/>
        <w:wordWrap/>
        <w:overflowPunct/>
        <w:topLinePunct w:val="0"/>
        <w:bidi w:val="0"/>
        <w:snapToGrid/>
        <w:spacing w:line="576" w:lineRule="exact"/>
        <w:ind w:left="640" w:leftChars="0"/>
        <w:outlineLvl w:val="1"/>
        <w:rPr>
          <w:rStyle w:val="29"/>
          <w:rFonts w:ascii="黑体" w:hAnsi="黑体" w:eastAsia="黑体"/>
          <w:b w:val="0"/>
          <w:color w:val="auto"/>
          <w:highlight w:val="none"/>
        </w:rPr>
      </w:pPr>
      <w:bookmarkStart w:id="26" w:name="_Toc15396605"/>
      <w:bookmarkStart w:id="27" w:name="_Toc29711"/>
      <w:bookmarkStart w:id="28"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2021年本年支出合计195.91万元，其中：基本支出107.03万元，占54.63%；项目支出88.88万元，占45.37%。</w:t>
      </w:r>
    </w:p>
    <w:p>
      <w:pPr>
        <w:keepNext w:val="0"/>
        <w:keepLines w:val="0"/>
        <w:pageBreakBefore w:val="0"/>
        <w:kinsoku/>
        <w:wordWrap/>
        <w:overflowPunct/>
        <w:topLinePunct w:val="0"/>
        <w:bidi w:val="0"/>
        <w:snapToGrid/>
        <w:spacing w:line="576" w:lineRule="exact"/>
        <w:ind w:firstLine="643" w:firstLineChars="200"/>
        <w:outlineLvl w:val="9"/>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pict>
          <v:shape id="_x0000_s1028" o:spid="_x0000_s1028" o:spt="75" type="#_x0000_t75" style="position:absolute;left:0pt;margin-left:63.95pt;margin-top:8.95pt;height:173.75pt;width:286pt;z-index:251661312;mso-width-relative:page;mso-height-relative:page;" o:ole="t" filled="f" o:preferrelative="t" stroked="f" coordsize="21600,21600">
            <v:path/>
            <v:fill on="f" focussize="0,0"/>
            <v:stroke on="f"/>
            <v:imagedata r:id="rId15" o:title=""/>
            <o:lock v:ext="edit" aspectratio="t"/>
          </v:shape>
          <o:OLEObject Type="Embed" ProgID="Excel.Chart.8" ShapeID="_x0000_s1028" DrawAspect="Content" ObjectID="_1468075727" r:id="rId14">
            <o:LockedField>false</o:LockedField>
          </o:OLEObject>
        </w:pict>
      </w:r>
    </w:p>
    <w:p>
      <w:pPr>
        <w:keepNext w:val="0"/>
        <w:keepLines w:val="0"/>
        <w:pageBreakBefore w:val="0"/>
        <w:kinsoku/>
        <w:wordWrap/>
        <w:overflowPunct/>
        <w:topLinePunct w:val="0"/>
        <w:bidi w:val="0"/>
        <w:snapToGrid/>
        <w:spacing w:line="576" w:lineRule="exact"/>
        <w:ind w:firstLine="643" w:firstLineChars="200"/>
        <w:outlineLvl w:val="9"/>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firstLine="643" w:firstLineChars="200"/>
        <w:outlineLvl w:val="9"/>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firstLine="643" w:firstLineChars="200"/>
        <w:outlineLvl w:val="9"/>
        <w:rPr>
          <w:rFonts w:hint="eastAsia"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firstLine="640"/>
        <w:rPr>
          <w:rFonts w:ascii="仿宋" w:hAnsi="仿宋" w:eastAsia="仿宋"/>
          <w:color w:val="auto"/>
          <w:sz w:val="32"/>
          <w:szCs w:val="32"/>
          <w:highlight w:val="none"/>
          <w:shd w:val="pct10" w:color="auto" w:fill="FFFFFF"/>
        </w:rPr>
      </w:pPr>
    </w:p>
    <w:p>
      <w:pPr>
        <w:keepNext w:val="0"/>
        <w:keepLines w:val="0"/>
        <w:pageBreakBefore w:val="0"/>
        <w:kinsoku/>
        <w:wordWrap/>
        <w:overflowPunct/>
        <w:topLinePunct w:val="0"/>
        <w:bidi w:val="0"/>
        <w:snapToGrid/>
        <w:spacing w:line="576" w:lineRule="exact"/>
        <w:jc w:val="both"/>
        <w:rPr>
          <w:rFonts w:hint="eastAsia" w:ascii="仿宋" w:hAnsi="仿宋" w:eastAsia="仿宋"/>
          <w:color w:val="auto"/>
          <w:sz w:val="32"/>
          <w:szCs w:val="32"/>
          <w:highlight w:val="none"/>
        </w:rPr>
      </w:pPr>
    </w:p>
    <w:p>
      <w:pPr>
        <w:pStyle w:val="7"/>
        <w:keepNext w:val="0"/>
        <w:keepLines w:val="0"/>
        <w:pageBreakBefore w:val="0"/>
        <w:kinsoku/>
        <w:wordWrap/>
        <w:overflowPunct/>
        <w:topLinePunct w:val="0"/>
        <w:bidi w:val="0"/>
        <w:snapToGrid/>
        <w:spacing w:line="576" w:lineRule="exact"/>
        <w:rPr>
          <w:rFonts w:hint="eastAsia"/>
        </w:rPr>
      </w:pPr>
    </w:p>
    <w:p>
      <w:pPr>
        <w:keepNext w:val="0"/>
        <w:keepLines w:val="0"/>
        <w:pageBreakBefore w:val="0"/>
        <w:kinsoku/>
        <w:wordWrap/>
        <w:overflowPunct/>
        <w:topLinePunct w:val="0"/>
        <w:bidi w:val="0"/>
        <w:snapToGrid/>
        <w:spacing w:line="576"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7"/>
        <w:keepNext w:val="0"/>
        <w:keepLines w:val="0"/>
        <w:pageBreakBefore w:val="0"/>
        <w:kinsoku/>
        <w:wordWrap/>
        <w:overflowPunct/>
        <w:topLinePunct w:val="0"/>
        <w:bidi w:val="0"/>
        <w:snapToGrid/>
        <w:spacing w:line="576" w:lineRule="exact"/>
        <w:rPr>
          <w:rFonts w:hint="eastAsia" w:ascii="仿宋" w:hAnsi="仿宋" w:eastAsia="仿宋" w:cs="仿宋"/>
          <w:sz w:val="32"/>
          <w:szCs w:val="32"/>
        </w:rPr>
      </w:pPr>
    </w:p>
    <w:p>
      <w:pPr>
        <w:keepNext w:val="0"/>
        <w:keepLines w:val="0"/>
        <w:pageBreakBefore w:val="0"/>
        <w:kinsoku/>
        <w:wordWrap/>
        <w:overflowPunct/>
        <w:topLinePunct w:val="0"/>
        <w:bidi w:val="0"/>
        <w:snapToGrid/>
        <w:spacing w:line="576" w:lineRule="exact"/>
        <w:ind w:firstLine="640" w:firstLineChars="200"/>
        <w:outlineLvl w:val="1"/>
        <w:rPr>
          <w:rStyle w:val="29"/>
          <w:rFonts w:ascii="黑体" w:hAnsi="黑体" w:eastAsia="黑体"/>
          <w:b w:val="0"/>
          <w:color w:val="auto"/>
          <w:highlight w:val="none"/>
        </w:rPr>
      </w:pPr>
      <w:bookmarkStart w:id="29" w:name="_Toc24069"/>
      <w:bookmarkStart w:id="30" w:name="_Toc15396606"/>
      <w:bookmarkStart w:id="31" w:name="_Toc15377208"/>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2021年财政拨款收、支总计233.75万元</w:t>
      </w:r>
      <w:r>
        <w:rPr>
          <w:rFonts w:hint="eastAsia" w:ascii="仿宋_GB2312" w:hAnsi="仿宋_GB2312" w:eastAsia="仿宋_GB2312" w:cs="仿宋_GB2312"/>
          <w:sz w:val="32"/>
          <w:szCs w:val="32"/>
        </w:rPr>
        <w:t>（含上年结转</w:t>
      </w:r>
      <w:r>
        <w:rPr>
          <w:rFonts w:hint="eastAsia" w:ascii="仿宋_GB2312" w:hAnsi="仿宋_GB2312" w:eastAsia="仿宋_GB2312" w:cs="仿宋_GB2312"/>
          <w:sz w:val="32"/>
          <w:szCs w:val="32"/>
          <w:lang w:val="en-US" w:eastAsia="zh-CN"/>
        </w:rPr>
        <w:t>26.22</w:t>
      </w:r>
      <w:r>
        <w:rPr>
          <w:rFonts w:hint="eastAsia" w:ascii="仿宋_GB2312" w:hAnsi="仿宋_GB2312" w:eastAsia="仿宋_GB2312" w:cs="仿宋_GB2312"/>
          <w:sz w:val="32"/>
          <w:szCs w:val="32"/>
        </w:rPr>
        <w:t>万元）</w:t>
      </w:r>
      <w:r>
        <w:rPr>
          <w:rFonts w:hint="eastAsia" w:ascii="仿宋" w:hAnsi="仿宋" w:eastAsia="仿宋" w:cs="仿宋"/>
          <w:b w:val="0"/>
          <w:bCs w:val="0"/>
          <w:kern w:val="0"/>
          <w:sz w:val="32"/>
          <w:szCs w:val="32"/>
          <w:lang w:val="en-US" w:eastAsia="zh-CN"/>
        </w:rPr>
        <w:t>。与2020年相比，财政拨款收、支总计各减少14.62万元，下降5.89%。主要变动原因是人员变动、公务支出的压减、生存环境及社会环境的改善和医疗水平的提高。</w:t>
      </w:r>
    </w:p>
    <w:p>
      <w:pPr>
        <w:keepNext w:val="0"/>
        <w:keepLines w:val="0"/>
        <w:pageBreakBefore w:val="0"/>
        <w:kinsoku/>
        <w:wordWrap/>
        <w:overflowPunct/>
        <w:topLinePunct w:val="0"/>
        <w:bidi w:val="0"/>
        <w:snapToGrid/>
        <w:spacing w:line="576"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pict>
          <v:shape id="_x0000_s1029" o:spid="_x0000_s1029" o:spt="75" type="#_x0000_t75" style="position:absolute;left:0pt;margin-left:42.55pt;margin-top:11.1pt;height:187.6pt;width:329.65pt;z-index:251662336;mso-width-relative:page;mso-height-relative:page;" o:ole="t" filled="f" o:preferrelative="t" stroked="f" coordsize="21600,21600">
            <v:path/>
            <v:fill on="f" focussize="0,0"/>
            <v:stroke on="f"/>
            <v:imagedata r:id="rId17" o:title=""/>
            <o:lock v:ext="edit" aspectratio="t"/>
          </v:shape>
          <o:OLEObject Type="Embed" ProgID="Excel.Chart.8" ShapeID="_x0000_s1029" DrawAspect="Content" ObjectID="_1468075728" r:id="rId16">
            <o:LockedField>false</o:LockedField>
          </o:OLEObject>
        </w:pict>
      </w: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keepNext w:val="0"/>
        <w:keepLines w:val="0"/>
        <w:pageBreakBefore w:val="0"/>
        <w:kinsoku/>
        <w:wordWrap/>
        <w:overflowPunct/>
        <w:topLinePunct w:val="0"/>
        <w:bidi w:val="0"/>
        <w:snapToGrid/>
        <w:spacing w:line="576" w:lineRule="exact"/>
        <w:ind w:firstLine="640" w:firstLineChars="200"/>
        <w:outlineLvl w:val="1"/>
        <w:rPr>
          <w:rStyle w:val="29"/>
          <w:rFonts w:ascii="黑体" w:hAnsi="黑体" w:eastAsia="黑体"/>
          <w:b w:val="0"/>
          <w:color w:val="auto"/>
          <w:highlight w:val="none"/>
        </w:rPr>
      </w:pPr>
      <w:bookmarkStart w:id="32" w:name="_Toc15396607"/>
      <w:bookmarkStart w:id="33" w:name="_Toc9684"/>
      <w:bookmarkStart w:id="34"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2"/>
      <w:bookmarkEnd w:id="33"/>
      <w:bookmarkEnd w:id="34"/>
    </w:p>
    <w:p>
      <w:pPr>
        <w:keepNext w:val="0"/>
        <w:keepLines w:val="0"/>
        <w:pageBreakBefore w:val="0"/>
        <w:kinsoku/>
        <w:wordWrap/>
        <w:overflowPunct/>
        <w:topLinePunct w:val="0"/>
        <w:bidi w:val="0"/>
        <w:snapToGrid/>
        <w:spacing w:line="576" w:lineRule="exact"/>
        <w:ind w:firstLine="643" w:firstLineChars="200"/>
        <w:outlineLvl w:val="2"/>
        <w:rPr>
          <w:rFonts w:hint="eastAsia" w:ascii="楷体" w:hAnsi="楷体" w:eastAsia="楷体" w:cs="楷体"/>
          <w:b/>
          <w:color w:val="auto"/>
          <w:sz w:val="32"/>
          <w:szCs w:val="32"/>
          <w:highlight w:val="none"/>
        </w:rPr>
      </w:pPr>
      <w:bookmarkStart w:id="35" w:name="_Toc15377210"/>
      <w:bookmarkStart w:id="36" w:name="_Toc10692"/>
      <w:r>
        <w:rPr>
          <w:rFonts w:hint="eastAsia" w:ascii="楷体" w:hAnsi="楷体" w:eastAsia="楷体" w:cs="楷体"/>
          <w:b/>
          <w:color w:val="auto"/>
          <w:sz w:val="32"/>
          <w:szCs w:val="32"/>
          <w:highlight w:val="none"/>
        </w:rPr>
        <w:t>（一）一般公共预算财政拨款支出决算总体情况</w:t>
      </w:r>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一般公共预算财政拨款支出195.91万元，占本年支出合计的100%。与2020年相比，一般公共预算财政拨款支出减少19.84万元，下降9.20%。主要变动原因是人员变动、公务支出的压减、生存环境及社会环境的改善和医疗水平的提高。</w:t>
      </w:r>
    </w:p>
    <w:p>
      <w:pPr>
        <w:keepNext w:val="0"/>
        <w:keepLines w:val="0"/>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r>
        <w:rPr>
          <w:rFonts w:hint="eastAsia" w:ascii="仿宋" w:hAnsi="仿宋" w:eastAsia="仿宋" w:cs="仿宋"/>
          <w:b w:val="0"/>
          <w:bCs w:val="0"/>
          <w:kern w:val="0"/>
          <w:sz w:val="32"/>
          <w:szCs w:val="32"/>
          <w:lang w:val="en-US" w:eastAsia="zh-CN"/>
        </w:rPr>
        <w:pict>
          <v:shape id="_x0000_s1030" o:spid="_x0000_s1030" o:spt="75" type="#_x0000_t75" style="position:absolute;left:0pt;margin-left:45.05pt;margin-top:1.8pt;height:178.6pt;width:329.65pt;z-index:251663360;mso-width-relative:page;mso-height-relative:page;" o:ole="t" filled="f" o:preferrelative="t" stroked="f" coordsize="21600,21600">
            <v:path/>
            <v:fill on="f" focussize="0,0"/>
            <v:stroke on="f"/>
            <v:imagedata r:id="rId19" o:title=""/>
            <o:lock v:ext="edit" aspectratio="t"/>
          </v:shape>
          <o:OLEObject Type="Embed" ProgID="Excel.Chart.8" ShapeID="_x0000_s1030" DrawAspect="Content" ObjectID="_1468075729" r:id="rId18">
            <o:LockedField>false</o:LockedField>
          </o:OLEObject>
        </w:pict>
      </w:r>
    </w:p>
    <w:p>
      <w:pPr>
        <w:keepNext w:val="0"/>
        <w:keepLines w:val="0"/>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keepNext w:val="0"/>
        <w:keepLines w:val="0"/>
        <w:pageBreakBefore w:val="0"/>
        <w:kinsoku/>
        <w:wordWrap/>
        <w:overflowPunct/>
        <w:topLinePunct w:val="0"/>
        <w:bidi w:val="0"/>
        <w:snapToGrid/>
        <w:spacing w:line="576" w:lineRule="exact"/>
        <w:ind w:firstLine="643" w:firstLineChars="200"/>
        <w:outlineLvl w:val="2"/>
        <w:rPr>
          <w:rFonts w:ascii="仿宋" w:hAnsi="仿宋" w:eastAsia="仿宋"/>
          <w:b/>
          <w:color w:val="auto"/>
          <w:sz w:val="32"/>
          <w:szCs w:val="32"/>
          <w:highlight w:val="none"/>
        </w:rPr>
      </w:pPr>
      <w:bookmarkStart w:id="37" w:name="_Toc15377211"/>
      <w:bookmarkStart w:id="38" w:name="_Toc1671"/>
      <w:r>
        <w:rPr>
          <w:rFonts w:hint="eastAsia" w:ascii="仿宋" w:hAnsi="仿宋" w:eastAsia="仿宋"/>
          <w:b/>
          <w:color w:val="auto"/>
          <w:sz w:val="32"/>
          <w:szCs w:val="32"/>
          <w:highlight w:val="none"/>
        </w:rPr>
        <w:t>（二）一般公共预算财政拨款支出决算结构情况</w:t>
      </w:r>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2021年一般公共预算财政拨款支出195.91万元，主要用于以下方面社会保障和就业（类）支出183.83万元，占93.83%；卫生健康支出3.76万元，占1.92%；住房保障支出8.32万元，占4.25%。</w:t>
      </w:r>
    </w:p>
    <w:p>
      <w:pPr>
        <w:keepNext w:val="0"/>
        <w:keepLines w:val="0"/>
        <w:pageBreakBefore w:val="0"/>
        <w:kinsoku/>
        <w:wordWrap/>
        <w:overflowPunct/>
        <w:topLinePunct w:val="0"/>
        <w:bidi w:val="0"/>
        <w:snapToGrid/>
        <w:spacing w:line="576"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pict>
          <v:shape id="_x0000_s1031" o:spid="_x0000_s1031" o:spt="75" type="#_x0000_t75" style="position:absolute;left:0pt;margin-left:78.25pt;margin-top:0.95pt;height:173.75pt;width:286pt;z-index:251664384;mso-width-relative:page;mso-height-relative:page;" o:ole="t" filled="f" o:preferrelative="t" stroked="f" coordsize="21600,21600">
            <v:path/>
            <v:fill on="f" focussize="0,0"/>
            <v:stroke on="f"/>
            <v:imagedata r:id="rId21" o:title=""/>
            <o:lock v:ext="edit" aspectratio="t"/>
          </v:shape>
          <o:OLEObject Type="Embed" ProgID="Excel.Chart.8" ShapeID="_x0000_s1031" DrawAspect="Content" ObjectID="_1468075730" r:id="rId20">
            <o:LockedField>false</o:LockedField>
          </o:OLEObject>
        </w:pict>
      </w:r>
    </w:p>
    <w:p>
      <w:pPr>
        <w:pStyle w:val="7"/>
        <w:keepNext w:val="0"/>
        <w:keepLines w:val="0"/>
        <w:pageBreakBefore w:val="0"/>
        <w:kinsoku/>
        <w:wordWrap/>
        <w:overflowPunct/>
        <w:topLinePunct w:val="0"/>
        <w:bidi w:val="0"/>
        <w:snapToGrid/>
        <w:spacing w:line="576" w:lineRule="exact"/>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rPr>
          <w:rFonts w:ascii="仿宋" w:hAnsi="仿宋" w:eastAsia="仿宋"/>
          <w:color w:val="auto"/>
          <w:sz w:val="32"/>
          <w:szCs w:val="32"/>
          <w:highlight w:val="none"/>
        </w:rPr>
      </w:pPr>
    </w:p>
    <w:p>
      <w:pPr>
        <w:pStyle w:val="7"/>
        <w:keepNext w:val="0"/>
        <w:keepLines w:val="0"/>
        <w:pageBreakBefore w:val="0"/>
        <w:kinsoku/>
        <w:wordWrap/>
        <w:overflowPunct/>
        <w:topLinePunct w:val="0"/>
        <w:bidi w:val="0"/>
        <w:snapToGrid/>
        <w:spacing w:line="576" w:lineRule="exact"/>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rPr>
          <w:rFonts w:ascii="仿宋" w:hAnsi="仿宋" w:eastAsia="仿宋"/>
          <w:color w:val="auto"/>
          <w:sz w:val="32"/>
          <w:szCs w:val="32"/>
          <w:highlight w:val="none"/>
        </w:rPr>
      </w:pPr>
    </w:p>
    <w:p>
      <w:pPr>
        <w:pStyle w:val="7"/>
        <w:keepNext w:val="0"/>
        <w:keepLines w:val="0"/>
        <w:pageBreakBefore w:val="0"/>
        <w:kinsoku/>
        <w:wordWrap/>
        <w:overflowPunct/>
        <w:topLinePunct w:val="0"/>
        <w:bidi w:val="0"/>
        <w:snapToGrid/>
        <w:spacing w:line="576" w:lineRule="exact"/>
      </w:pPr>
    </w:p>
    <w:p>
      <w:pPr>
        <w:keepNext w:val="0"/>
        <w:keepLines w:val="0"/>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keepNext w:val="0"/>
        <w:keepLines w:val="0"/>
        <w:pageBreakBefore w:val="0"/>
        <w:kinsoku/>
        <w:wordWrap/>
        <w:overflowPunct/>
        <w:topLinePunct w:val="0"/>
        <w:bidi w:val="0"/>
        <w:snapToGrid/>
        <w:spacing w:line="576" w:lineRule="exact"/>
        <w:outlineLvl w:val="9"/>
        <w:rPr>
          <w:rFonts w:hint="eastAsia" w:ascii="仿宋" w:hAnsi="仿宋" w:eastAsia="仿宋"/>
          <w:b/>
          <w:color w:val="auto"/>
          <w:sz w:val="32"/>
          <w:szCs w:val="32"/>
          <w:highlight w:val="none"/>
        </w:rPr>
      </w:pPr>
      <w:bookmarkStart w:id="39" w:name="_Toc15377212"/>
    </w:p>
    <w:p>
      <w:pPr>
        <w:keepNext w:val="0"/>
        <w:keepLines w:val="0"/>
        <w:pageBreakBefore w:val="0"/>
        <w:kinsoku/>
        <w:wordWrap/>
        <w:overflowPunct/>
        <w:topLinePunct w:val="0"/>
        <w:bidi w:val="0"/>
        <w:snapToGrid/>
        <w:spacing w:line="576" w:lineRule="exact"/>
        <w:ind w:firstLine="643" w:firstLineChars="200"/>
        <w:outlineLvl w:val="2"/>
        <w:rPr>
          <w:rFonts w:ascii="仿宋" w:hAnsi="仿宋" w:eastAsia="仿宋"/>
          <w:b/>
          <w:color w:val="auto"/>
          <w:sz w:val="32"/>
          <w:szCs w:val="32"/>
          <w:highlight w:val="none"/>
        </w:rPr>
      </w:pPr>
      <w:bookmarkStart w:id="40" w:name="_Toc1653"/>
      <w:r>
        <w:rPr>
          <w:rFonts w:hint="eastAsia" w:ascii="仿宋" w:hAnsi="仿宋" w:eastAsia="仿宋"/>
          <w:b/>
          <w:color w:val="auto"/>
          <w:sz w:val="32"/>
          <w:szCs w:val="32"/>
          <w:highlight w:val="none"/>
        </w:rPr>
        <w:t>（三）一般公共预算财政拨款支出决算具体情况</w:t>
      </w:r>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bookmarkStart w:id="41" w:name="_Toc15378460"/>
      <w:bookmarkStart w:id="42" w:name="_Toc15377213"/>
      <w:bookmarkStart w:id="43" w:name="_Toc15377444"/>
      <w:r>
        <w:rPr>
          <w:rFonts w:hint="eastAsia" w:ascii="仿宋" w:hAnsi="仿宋" w:eastAsia="仿宋" w:cs="仿宋"/>
          <w:b w:val="0"/>
          <w:bCs w:val="0"/>
          <w:kern w:val="0"/>
          <w:sz w:val="32"/>
          <w:szCs w:val="32"/>
          <w:lang w:val="en-US" w:eastAsia="zh-CN"/>
        </w:rPr>
        <w:t>2021年一般公共预算支出决算数为195.91，完成预算83.81%。其中：</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1.社会保障和就业（类）行政事业单位养老（款）机关事业单位基本养老保险缴费支出（项）：支出决算为7.51万元，完成预算100%。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2.社会保障和就业（类）社会福利（款）殡葬（项）：支出决算为176.32万元，完成预算93.82%，决算数小于预算数的主要原因是生存环境、社会环境的改善及医疗水平的提高等致指标未完成。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3.卫生健康（类）行政事业单位医疗（款）事业单位医疗（项）：支出决算为3.76万元，完成预算100%。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4.住房保障（类）住房改革（款）住房公积金：支出决算为8.32万元，完成预算100%。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keepNext w:val="0"/>
        <w:keepLines w:val="0"/>
        <w:pageBreakBefore w:val="0"/>
        <w:tabs>
          <w:tab w:val="right" w:pos="8306"/>
        </w:tabs>
        <w:kinsoku/>
        <w:wordWrap/>
        <w:overflowPunct/>
        <w:topLinePunct w:val="0"/>
        <w:bidi w:val="0"/>
        <w:snapToGrid/>
        <w:spacing w:line="576" w:lineRule="exact"/>
        <w:ind w:firstLine="640"/>
        <w:outlineLvl w:val="1"/>
        <w:rPr>
          <w:rStyle w:val="29"/>
          <w:color w:val="auto"/>
          <w:highlight w:val="none"/>
        </w:rPr>
      </w:pPr>
      <w:bookmarkStart w:id="44" w:name="_Toc15377214"/>
      <w:bookmarkStart w:id="45" w:name="_Toc5175"/>
      <w:bookmarkStart w:id="46"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4"/>
      <w:bookmarkEnd w:id="45"/>
      <w:bookmarkEnd w:id="46"/>
      <w:r>
        <w:rPr>
          <w:rStyle w:val="29"/>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2021年一般公共预算财政拨款基本支出107.03万元，其中：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人员经费95.62万元，主要包括：基本工资、津贴补贴、奖金、绩效工资、机关事业单位基本养老保险缴费、职业年金缴费、职工基本医疗保险缴纳、其他社会保障缴费、住房公积金、其他工资福利支出等。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公用经费11.41万元，主要包括：办公费、咨询费、手续费、邮电费、物业管理费、差旅费、培训费、工会经费、福利费、公务用车运行维护费、其他交通费、其他商品和服务支出等。</w:t>
      </w:r>
    </w:p>
    <w:p>
      <w:pPr>
        <w:keepNext w:val="0"/>
        <w:keepLines w:val="0"/>
        <w:pageBreakBefore w:val="0"/>
        <w:kinsoku/>
        <w:wordWrap/>
        <w:overflowPunct/>
        <w:topLinePunct w:val="0"/>
        <w:bidi w:val="0"/>
        <w:snapToGrid/>
        <w:spacing w:line="576" w:lineRule="exact"/>
        <w:ind w:firstLine="640"/>
        <w:rPr>
          <w:rFonts w:ascii="仿宋" w:hAnsi="仿宋" w:eastAsia="仿宋"/>
          <w:b/>
          <w:color w:val="auto"/>
          <w:sz w:val="32"/>
          <w:szCs w:val="32"/>
          <w:highlight w:val="none"/>
        </w:rPr>
      </w:pPr>
    </w:p>
    <w:p>
      <w:pPr>
        <w:keepNext w:val="0"/>
        <w:keepLines w:val="0"/>
        <w:pageBreakBefore w:val="0"/>
        <w:kinsoku/>
        <w:wordWrap/>
        <w:overflowPunct/>
        <w:topLinePunct w:val="0"/>
        <w:bidi w:val="0"/>
        <w:snapToGrid/>
        <w:spacing w:line="576" w:lineRule="exact"/>
        <w:ind w:firstLine="640"/>
        <w:outlineLvl w:val="1"/>
        <w:rPr>
          <w:rStyle w:val="29"/>
          <w:rFonts w:ascii="黑体" w:hAnsi="黑体" w:eastAsia="黑体"/>
          <w:b w:val="0"/>
          <w:color w:val="auto"/>
          <w:highlight w:val="none"/>
        </w:rPr>
      </w:pPr>
      <w:bookmarkStart w:id="47" w:name="_Toc4538"/>
      <w:bookmarkStart w:id="48" w:name="_Toc15396609"/>
      <w:bookmarkStart w:id="49" w:name="_Toc15377215"/>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47"/>
      <w:bookmarkEnd w:id="48"/>
      <w:bookmarkEnd w:id="49"/>
    </w:p>
    <w:p>
      <w:pPr>
        <w:keepNext w:val="0"/>
        <w:keepLines w:val="0"/>
        <w:pageBreakBefore w:val="0"/>
        <w:kinsoku/>
        <w:wordWrap/>
        <w:overflowPunct/>
        <w:topLinePunct w:val="0"/>
        <w:bidi w:val="0"/>
        <w:snapToGrid/>
        <w:spacing w:line="576" w:lineRule="exact"/>
        <w:ind w:firstLine="640"/>
        <w:outlineLvl w:val="2"/>
        <w:rPr>
          <w:rFonts w:ascii="仿宋" w:hAnsi="仿宋" w:eastAsia="仿宋"/>
          <w:b/>
          <w:color w:val="auto"/>
          <w:sz w:val="32"/>
          <w:szCs w:val="32"/>
          <w:highlight w:val="none"/>
        </w:rPr>
      </w:pPr>
      <w:bookmarkStart w:id="50" w:name="_Toc15377216"/>
      <w:bookmarkStart w:id="51" w:name="_Toc30343"/>
      <w:r>
        <w:rPr>
          <w:rFonts w:hint="eastAsia" w:ascii="仿宋" w:hAnsi="仿宋" w:eastAsia="仿宋"/>
          <w:b/>
          <w:color w:val="auto"/>
          <w:sz w:val="32"/>
          <w:szCs w:val="32"/>
          <w:highlight w:val="none"/>
        </w:rPr>
        <w:t>（一）“三公”经费财政拨款支出决算总体情况说明</w:t>
      </w:r>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2021年“三公”经费财政拨款支出决算为1万元，完成预算83.33%，决算数小于预算数的主要原因是本单位严格控制“三公”经费支出。</w:t>
      </w:r>
    </w:p>
    <w:p>
      <w:pPr>
        <w:keepNext w:val="0"/>
        <w:keepLines w:val="0"/>
        <w:pageBreakBefore w:val="0"/>
        <w:kinsoku/>
        <w:wordWrap/>
        <w:overflowPunct/>
        <w:topLinePunct w:val="0"/>
        <w:bidi w:val="0"/>
        <w:snapToGrid/>
        <w:spacing w:line="576" w:lineRule="exact"/>
        <w:ind w:firstLine="640"/>
        <w:outlineLvl w:val="2"/>
        <w:rPr>
          <w:rFonts w:ascii="仿宋" w:hAnsi="仿宋" w:eastAsia="仿宋"/>
          <w:b/>
          <w:color w:val="auto"/>
          <w:sz w:val="32"/>
          <w:szCs w:val="32"/>
          <w:highlight w:val="none"/>
        </w:rPr>
      </w:pPr>
      <w:bookmarkStart w:id="52" w:name="_Toc15377217"/>
      <w:bookmarkStart w:id="53" w:name="_Toc31503"/>
      <w:r>
        <w:rPr>
          <w:rFonts w:hint="eastAsia" w:ascii="仿宋" w:hAnsi="仿宋" w:eastAsia="仿宋"/>
          <w:b/>
          <w:color w:val="auto"/>
          <w:sz w:val="32"/>
          <w:szCs w:val="32"/>
          <w:highlight w:val="none"/>
        </w:rPr>
        <w:t>（二）“三公”经费财政拨款支出决算具体情况说明</w:t>
      </w:r>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2021年“三公”经费财政拨款支出决算中，因公出国（境）费支出决算0万元，占0%；公务用车购置及运行维护费支出决算1万元，占100%；公务接待费支出决算0万元，占0%。具体情况如下：</w:t>
      </w:r>
    </w:p>
    <w:p>
      <w:pPr>
        <w:pStyle w:val="7"/>
        <w:keepNext w:val="0"/>
        <w:keepLines w:val="0"/>
        <w:pageBreakBefore w:val="0"/>
        <w:kinsoku/>
        <w:wordWrap/>
        <w:overflowPunct/>
        <w:topLinePunct w:val="0"/>
        <w:bidi w:val="0"/>
        <w:snapToGrid/>
        <w:spacing w:line="576" w:lineRule="exact"/>
      </w:pPr>
      <w:r>
        <w:rPr>
          <w:rFonts w:hint="eastAsia" w:ascii="仿宋" w:hAnsi="仿宋" w:eastAsia="仿宋"/>
          <w:b/>
          <w:color w:val="auto"/>
          <w:sz w:val="32"/>
          <w:szCs w:val="32"/>
          <w:highlight w:val="none"/>
          <w:lang w:eastAsia="zh-CN"/>
        </w:rPr>
        <w:pict>
          <v:shape id="_x0000_s1034" o:spid="_x0000_s1034" o:spt="75" type="#_x0000_t75" style="position:absolute;left:0pt;margin-left:44.8pt;margin-top:6.8pt;height:173.75pt;width:286pt;z-index:251665408;mso-width-relative:page;mso-height-relative:page;" o:ole="t" filled="f" o:preferrelative="t" stroked="f" coordsize="21600,21600">
            <v:path/>
            <v:fill on="f" focussize="0,0"/>
            <v:stroke on="f"/>
            <v:imagedata r:id="rId23" o:title=""/>
            <o:lock v:ext="edit" aspectratio="t"/>
          </v:shape>
          <o:OLEObject Type="Embed" ProgID="Excel.Chart.8" ShapeID="_x0000_s1034" DrawAspect="Content" ObjectID="_1468075731" r:id="rId22">
            <o:LockedField>false</o:LockedField>
          </o:OLEObject>
        </w:pict>
      </w:r>
    </w:p>
    <w:p>
      <w:pPr>
        <w:pStyle w:val="7"/>
        <w:keepNext w:val="0"/>
        <w:keepLines w:val="0"/>
        <w:pageBreakBefore w:val="0"/>
        <w:kinsoku/>
        <w:wordWrap/>
        <w:overflowPunct/>
        <w:topLinePunct w:val="0"/>
        <w:bidi w:val="0"/>
        <w:snapToGrid/>
        <w:spacing w:line="576" w:lineRule="exact"/>
      </w:pPr>
    </w:p>
    <w:p>
      <w:pPr>
        <w:pStyle w:val="7"/>
        <w:keepNext w:val="0"/>
        <w:keepLines w:val="0"/>
        <w:pageBreakBefore w:val="0"/>
        <w:kinsoku/>
        <w:wordWrap/>
        <w:overflowPunct/>
        <w:topLinePunct w:val="0"/>
        <w:bidi w:val="0"/>
        <w:snapToGrid/>
        <w:spacing w:line="576" w:lineRule="exact"/>
      </w:pPr>
    </w:p>
    <w:p>
      <w:pPr>
        <w:pStyle w:val="7"/>
        <w:keepNext w:val="0"/>
        <w:keepLines w:val="0"/>
        <w:pageBreakBefore w:val="0"/>
        <w:kinsoku/>
        <w:wordWrap/>
        <w:overflowPunct/>
        <w:topLinePunct w:val="0"/>
        <w:bidi w:val="0"/>
        <w:snapToGrid/>
        <w:spacing w:line="576" w:lineRule="exact"/>
      </w:pPr>
    </w:p>
    <w:p>
      <w:pPr>
        <w:pStyle w:val="7"/>
        <w:keepNext w:val="0"/>
        <w:keepLines w:val="0"/>
        <w:pageBreakBefore w:val="0"/>
        <w:kinsoku/>
        <w:wordWrap/>
        <w:overflowPunct/>
        <w:topLinePunct w:val="0"/>
        <w:bidi w:val="0"/>
        <w:snapToGrid/>
        <w:spacing w:line="576" w:lineRule="exact"/>
      </w:pPr>
    </w:p>
    <w:p>
      <w:pPr>
        <w:keepNext w:val="0"/>
        <w:keepLines w:val="0"/>
        <w:pageBreakBefore w:val="0"/>
        <w:kinsoku/>
        <w:wordWrap/>
        <w:overflowPunct/>
        <w:topLinePunct w:val="0"/>
        <w:bidi w:val="0"/>
        <w:snapToGrid/>
        <w:spacing w:line="576" w:lineRule="exact"/>
      </w:pPr>
    </w:p>
    <w:p>
      <w:pPr>
        <w:keepNext w:val="0"/>
        <w:keepLines w:val="0"/>
        <w:pageBreakBefore w:val="0"/>
        <w:kinsoku/>
        <w:wordWrap/>
        <w:overflowPunct/>
        <w:topLinePunct w:val="0"/>
        <w:bidi w:val="0"/>
        <w:snapToGrid/>
        <w:spacing w:line="576"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b w:val="0"/>
          <w:bCs w:val="0"/>
          <w:kern w:val="0"/>
          <w:sz w:val="32"/>
          <w:szCs w:val="32"/>
          <w:lang w:val="en-US" w:eastAsia="zh-CN"/>
        </w:rPr>
        <w:t>1.因公出国（境）经费支出0万元，</w:t>
      </w:r>
      <w:r>
        <w:rPr>
          <w:rFonts w:hint="eastAsia" w:ascii="仿宋_GB2312" w:hAnsi="仿宋_GB2312" w:eastAsia="仿宋_GB2312" w:cs="仿宋_GB2312"/>
          <w:sz w:val="32"/>
          <w:szCs w:val="32"/>
        </w:rPr>
        <w:t>年初未安排预算，因公出国（境）支出决算较2020年无变化</w:t>
      </w:r>
      <w:r>
        <w:rPr>
          <w:rStyle w:val="18"/>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公务用车购置及运行维护费支出1万元，完成预算100%。公务用车购置及运行维护费支出决算比2020年增加1万元。主要原因是广元市殡葬管理所实际没有车辆，日常业务工作用车为租用其他单位车辆开展工作所产生的运行维护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其中：公务用车购置支出0万元（无公务用车保有量）。全年按规定更新购置公务用车0辆。截至2021年12月底，单位共有公务用车0辆。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公务用车运行维护费支出1万元。主要用于殡葬执法宣传等日常业务工作所需的公务用车维修费、保险费等支出。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3.公务接待费支出0万元，完成预算0%，预算数为0.2万元。公务接待费支出决算与2020年决算数持平，</w:t>
      </w:r>
      <w:r>
        <w:rPr>
          <w:rFonts w:hint="eastAsia" w:ascii="仿宋" w:hAnsi="仿宋" w:eastAsia="仿宋" w:cs="仿宋"/>
          <w:b w:val="0"/>
          <w:bCs w:val="0"/>
          <w:kern w:val="0"/>
          <w:sz w:val="32"/>
          <w:szCs w:val="32"/>
          <w:lang w:val="en-US" w:eastAsia="zh-Hans"/>
        </w:rPr>
        <w:t>增长（下降）</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lang w:val="en-US" w:eastAsia="zh-Hans"/>
        </w:rPr>
        <w:t>%</w:t>
      </w:r>
      <w:r>
        <w:rPr>
          <w:rFonts w:hint="eastAsia" w:ascii="仿宋" w:hAnsi="仿宋" w:eastAsia="仿宋" w:cs="仿宋"/>
          <w:b w:val="0"/>
          <w:bCs w:val="0"/>
          <w:kern w:val="0"/>
          <w:sz w:val="32"/>
          <w:szCs w:val="32"/>
          <w:lang w:val="en-US" w:eastAsia="zh-CN"/>
        </w:rPr>
        <w:t>。主要原因是</w:t>
      </w:r>
      <w:bookmarkStart w:id="54" w:name="_Toc15377218"/>
      <w:bookmarkStart w:id="55" w:name="_Toc15396610"/>
      <w:r>
        <w:rPr>
          <w:rFonts w:hint="eastAsia" w:ascii="仿宋" w:hAnsi="仿宋" w:eastAsia="仿宋" w:cs="仿宋"/>
          <w:b w:val="0"/>
          <w:bCs w:val="0"/>
          <w:kern w:val="0"/>
          <w:sz w:val="32"/>
          <w:szCs w:val="32"/>
          <w:lang w:val="en-US" w:eastAsia="zh-CN"/>
        </w:rPr>
        <w:t>本单位严格控制“三公”经费支出。</w:t>
      </w:r>
    </w:p>
    <w:p>
      <w:pPr>
        <w:keepNext w:val="0"/>
        <w:keepLines w:val="0"/>
        <w:pageBreakBefore w:val="0"/>
        <w:kinsoku/>
        <w:wordWrap/>
        <w:overflowPunct/>
        <w:topLinePunct w:val="0"/>
        <w:bidi w:val="0"/>
        <w:snapToGrid/>
        <w:spacing w:line="576" w:lineRule="exact"/>
        <w:ind w:firstLine="640"/>
        <w:rPr>
          <w:rFonts w:hint="eastAsia"/>
          <w:lang w:val="en-US" w:eastAsia="zh-CN"/>
        </w:rPr>
      </w:pPr>
    </w:p>
    <w:p>
      <w:pPr>
        <w:keepNext w:val="0"/>
        <w:keepLines w:val="0"/>
        <w:pageBreakBefore w:val="0"/>
        <w:kinsoku/>
        <w:wordWrap/>
        <w:overflowPunct/>
        <w:topLinePunct w:val="0"/>
        <w:bidi w:val="0"/>
        <w:snapToGrid/>
        <w:spacing w:line="576" w:lineRule="exact"/>
        <w:ind w:firstLine="640"/>
        <w:outlineLvl w:val="1"/>
        <w:rPr>
          <w:rStyle w:val="29"/>
          <w:rFonts w:ascii="黑体" w:hAnsi="黑体" w:eastAsia="黑体"/>
          <w:color w:val="auto"/>
          <w:highlight w:val="none"/>
        </w:rPr>
      </w:pPr>
      <w:bookmarkStart w:id="56" w:name="_Toc13279"/>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2021年政府性基金预算财政拨款支出0万元。</w:t>
      </w:r>
    </w:p>
    <w:p>
      <w:pPr>
        <w:keepNext w:val="0"/>
        <w:keepLines w:val="0"/>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p>
    <w:p>
      <w:pPr>
        <w:keepNext w:val="0"/>
        <w:keepLines w:val="0"/>
        <w:pageBreakBefore w:val="0"/>
        <w:numPr>
          <w:ilvl w:val="0"/>
          <w:numId w:val="1"/>
        </w:numPr>
        <w:kinsoku/>
        <w:wordWrap/>
        <w:overflowPunct/>
        <w:topLinePunct w:val="0"/>
        <w:bidi w:val="0"/>
        <w:snapToGrid/>
        <w:spacing w:line="576" w:lineRule="exact"/>
        <w:ind w:firstLine="640"/>
        <w:outlineLvl w:val="1"/>
        <w:rPr>
          <w:rStyle w:val="29"/>
          <w:rFonts w:ascii="黑体" w:hAnsi="黑体" w:eastAsia="黑体"/>
          <w:b w:val="0"/>
          <w:color w:val="auto"/>
          <w:highlight w:val="none"/>
        </w:rPr>
      </w:pPr>
      <w:bookmarkStart w:id="57" w:name="_Toc15377219"/>
      <w:bookmarkStart w:id="58" w:name="_Toc22701"/>
      <w:bookmarkStart w:id="59" w:name="_Toc15396611"/>
      <w:r>
        <w:rPr>
          <w:rStyle w:val="29"/>
          <w:rFonts w:hint="eastAsia" w:ascii="黑体" w:hAnsi="黑体" w:eastAsia="黑体"/>
          <w:b w:val="0"/>
          <w:color w:val="auto"/>
          <w:highlight w:val="none"/>
        </w:rPr>
        <w:t>国有资本经营预算支出决算情况说明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2021年国有资本经营预算财政拨款支出0万元。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keepNext w:val="0"/>
        <w:keepLines w:val="0"/>
        <w:pageBreakBefore w:val="0"/>
        <w:numPr>
          <w:ilvl w:val="0"/>
          <w:numId w:val="1"/>
        </w:numPr>
        <w:kinsoku/>
        <w:wordWrap/>
        <w:overflowPunct/>
        <w:topLinePunct w:val="0"/>
        <w:bidi w:val="0"/>
        <w:snapToGrid/>
        <w:spacing w:line="576" w:lineRule="exact"/>
        <w:ind w:firstLine="640"/>
        <w:outlineLvl w:val="1"/>
        <w:rPr>
          <w:rStyle w:val="29"/>
          <w:rFonts w:hint="eastAsia" w:ascii="黑体" w:hAnsi="黑体" w:eastAsia="黑体"/>
          <w:b w:val="0"/>
          <w:color w:val="auto"/>
          <w:highlight w:val="none"/>
        </w:rPr>
      </w:pPr>
      <w:bookmarkStart w:id="60" w:name="_Toc21815"/>
      <w:bookmarkStart w:id="61" w:name="_Toc15396612"/>
      <w:bookmarkStart w:id="62" w:name="_Toc15377221"/>
      <w:r>
        <w:rPr>
          <w:rStyle w:val="29"/>
          <w:rFonts w:hint="eastAsia" w:ascii="黑体" w:hAnsi="黑体" w:eastAsia="黑体"/>
          <w:b w:val="0"/>
          <w:color w:val="auto"/>
          <w:highlight w:val="none"/>
          <w:lang w:val="en-US" w:eastAsia="zh-CN"/>
        </w:rPr>
        <w:t>预算绩效管理情况</w:t>
      </w:r>
      <w:bookmarkEnd w:id="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根据预算绩效管理要求，本单位在2021年度预算编制阶段，组织对殡葬救助费用、殡葬执法宣传及火化证印刷费、无名和疑难尸体火化费、处理殡仪馆遗留问题等4个项目开展了预算事前绩效评估，对4个项目编制了绩效目标，预算执行过程中，选取4个项目开展绩效监控，年终执行完毕后，对4个项目开展了绩效自评，2021年部门预算项目绩效目标自评表见附件（第四部分）。</w:t>
      </w:r>
    </w:p>
    <w:p>
      <w:pPr>
        <w:pStyle w:val="8"/>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pPr>
        <w:keepNext w:val="0"/>
        <w:keepLines w:val="0"/>
        <w:pageBreakBefore w:val="0"/>
        <w:numPr>
          <w:ilvl w:val="0"/>
          <w:numId w:val="1"/>
        </w:numPr>
        <w:kinsoku/>
        <w:wordWrap/>
        <w:overflowPunct/>
        <w:topLinePunct w:val="0"/>
        <w:bidi w:val="0"/>
        <w:snapToGrid/>
        <w:spacing w:line="576" w:lineRule="exact"/>
        <w:ind w:firstLine="640"/>
        <w:outlineLvl w:val="1"/>
        <w:rPr>
          <w:rStyle w:val="29"/>
          <w:rFonts w:hint="eastAsia" w:ascii="黑体" w:hAnsi="黑体" w:eastAsia="黑体"/>
          <w:b w:val="0"/>
          <w:color w:val="auto"/>
          <w:highlight w:val="none"/>
        </w:rPr>
      </w:pPr>
      <w:bookmarkStart w:id="63" w:name="_Toc21675"/>
      <w:r>
        <w:rPr>
          <w:rStyle w:val="29"/>
          <w:rFonts w:hint="eastAsia" w:ascii="黑体" w:hAnsi="黑体" w:eastAsia="黑体"/>
          <w:b w:val="0"/>
          <w:color w:val="auto"/>
          <w:highlight w:val="none"/>
        </w:rPr>
        <w:t>其他重要事项的情况说明</w:t>
      </w:r>
      <w:bookmarkEnd w:id="61"/>
      <w:bookmarkEnd w:id="62"/>
      <w:bookmarkEnd w:id="63"/>
    </w:p>
    <w:p>
      <w:pPr>
        <w:keepNext w:val="0"/>
        <w:keepLines w:val="0"/>
        <w:pageBreakBefore w:val="0"/>
        <w:kinsoku/>
        <w:wordWrap/>
        <w:overflowPunct/>
        <w:topLinePunct w:val="0"/>
        <w:bidi w:val="0"/>
        <w:snapToGrid/>
        <w:spacing w:line="576" w:lineRule="exact"/>
        <w:ind w:firstLine="643" w:firstLineChars="200"/>
        <w:outlineLvl w:val="2"/>
        <w:rPr>
          <w:rFonts w:ascii="仿宋" w:hAnsi="仿宋" w:eastAsia="仿宋"/>
          <w:color w:val="auto"/>
          <w:sz w:val="32"/>
          <w:szCs w:val="32"/>
          <w:highlight w:val="none"/>
        </w:rPr>
      </w:pPr>
      <w:bookmarkStart w:id="64" w:name="_Toc5447"/>
      <w:bookmarkStart w:id="65" w:name="_Toc15377222"/>
      <w:r>
        <w:rPr>
          <w:rFonts w:hint="eastAsia" w:ascii="仿宋" w:hAnsi="仿宋" w:eastAsia="仿宋"/>
          <w:b/>
          <w:color w:val="auto"/>
          <w:sz w:val="32"/>
          <w:szCs w:val="32"/>
          <w:highlight w:val="none"/>
        </w:rPr>
        <w:t>（一）机关运行经费支出情况</w:t>
      </w:r>
      <w:bookmarkEnd w:id="64"/>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广元市殡葬管理所2021年未发生机关运行经费支出，与2020年决算数持平。</w:t>
      </w:r>
    </w:p>
    <w:p>
      <w:pPr>
        <w:keepNext w:val="0"/>
        <w:keepLines w:val="0"/>
        <w:pageBreakBefore w:val="0"/>
        <w:kinsoku/>
        <w:wordWrap/>
        <w:overflowPunct/>
        <w:topLinePunct w:val="0"/>
        <w:autoSpaceDE w:val="0"/>
        <w:autoSpaceDN w:val="0"/>
        <w:bidi w:val="0"/>
        <w:adjustRightInd w:val="0"/>
        <w:snapToGrid/>
        <w:spacing w:line="576" w:lineRule="exact"/>
        <w:ind w:firstLine="643" w:firstLineChars="200"/>
        <w:jc w:val="left"/>
        <w:outlineLvl w:val="2"/>
        <w:rPr>
          <w:rFonts w:ascii="仿宋" w:hAnsi="仿宋" w:eastAsia="仿宋"/>
          <w:b/>
          <w:color w:val="auto"/>
          <w:sz w:val="32"/>
          <w:szCs w:val="32"/>
          <w:highlight w:val="none"/>
        </w:rPr>
      </w:pPr>
      <w:bookmarkStart w:id="66" w:name="_Toc15377223"/>
      <w:bookmarkStart w:id="67" w:name="_Toc31732"/>
      <w:r>
        <w:rPr>
          <w:rFonts w:hint="eastAsia" w:ascii="仿宋" w:hAnsi="仿宋" w:eastAsia="仿宋"/>
          <w:b/>
          <w:color w:val="auto"/>
          <w:sz w:val="32"/>
          <w:szCs w:val="32"/>
          <w:highlight w:val="none"/>
        </w:rPr>
        <w:t>（二）政府采购支出情况</w:t>
      </w:r>
      <w:bookmarkEnd w:id="66"/>
      <w:bookmarkEnd w:id="6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2021年，广元市殡葬管理所政府采购支出总额0万元。</w:t>
      </w:r>
    </w:p>
    <w:p>
      <w:pPr>
        <w:keepNext w:val="0"/>
        <w:keepLines w:val="0"/>
        <w:pageBreakBefore w:val="0"/>
        <w:kinsoku/>
        <w:wordWrap/>
        <w:overflowPunct/>
        <w:topLinePunct w:val="0"/>
        <w:autoSpaceDE w:val="0"/>
        <w:autoSpaceDN w:val="0"/>
        <w:bidi w:val="0"/>
        <w:adjustRightInd w:val="0"/>
        <w:snapToGrid/>
        <w:spacing w:line="576" w:lineRule="exact"/>
        <w:ind w:firstLine="643" w:firstLineChars="200"/>
        <w:jc w:val="left"/>
        <w:outlineLvl w:val="2"/>
        <w:rPr>
          <w:rFonts w:ascii="仿宋" w:hAnsi="仿宋" w:eastAsia="仿宋"/>
          <w:b/>
          <w:color w:val="auto"/>
          <w:sz w:val="32"/>
          <w:szCs w:val="32"/>
          <w:highlight w:val="none"/>
        </w:rPr>
      </w:pPr>
      <w:bookmarkStart w:id="68" w:name="_Toc15377224"/>
      <w:bookmarkStart w:id="69" w:name="_Toc24094"/>
      <w:r>
        <w:rPr>
          <w:rFonts w:hint="eastAsia" w:ascii="仿宋" w:hAnsi="仿宋" w:eastAsia="仿宋"/>
          <w:b/>
          <w:color w:val="auto"/>
          <w:sz w:val="32"/>
          <w:szCs w:val="32"/>
          <w:highlight w:val="none"/>
        </w:rPr>
        <w:t>（三）国有资产占有使用情况</w:t>
      </w:r>
      <w:bookmarkEnd w:id="68"/>
      <w:bookmarkEnd w:id="6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 w:hAnsi="仿宋" w:eastAsia="仿宋" w:cs="仿宋"/>
          <w:b w:val="0"/>
          <w:bCs w:val="0"/>
          <w:kern w:val="0"/>
          <w:sz w:val="32"/>
          <w:szCs w:val="32"/>
          <w:lang w:val="en-US" w:eastAsia="zh-CN"/>
        </w:rPr>
        <w:t>截至2021年12月31日，广元市殡葬管理所共有车辆0辆。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0"/>
          <w:sz w:val="32"/>
          <w:szCs w:val="32"/>
          <w:lang w:val="en-US" w:eastAsia="zh-CN"/>
        </w:rPr>
      </w:pPr>
    </w:p>
    <w:p>
      <w:pPr>
        <w:keepNext w:val="0"/>
        <w:keepLines w:val="0"/>
        <w:pageBreakBefore w:val="0"/>
        <w:widowControl/>
        <w:kinsoku/>
        <w:wordWrap/>
        <w:overflowPunct/>
        <w:topLinePunct w:val="0"/>
        <w:bidi w:val="0"/>
        <w:snapToGrid/>
        <w:spacing w:line="576" w:lineRule="exact"/>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0"/>
        </w:numPr>
        <w:spacing w:line="600" w:lineRule="exact"/>
        <w:jc w:val="center"/>
        <w:outlineLvl w:val="0"/>
        <w:rPr>
          <w:rStyle w:val="28"/>
          <w:rFonts w:ascii="黑体" w:hAnsi="黑体" w:eastAsia="黑体"/>
          <w:b w:val="0"/>
          <w:color w:val="auto"/>
          <w:highlight w:val="none"/>
        </w:rPr>
      </w:pPr>
      <w:bookmarkStart w:id="70" w:name="_Toc1537"/>
      <w:bookmarkStart w:id="71" w:name="_Toc15377225"/>
      <w:bookmarkStart w:id="72" w:name="_Toc15396613"/>
      <w:r>
        <w:rPr>
          <w:rStyle w:val="28"/>
          <w:rFonts w:hint="eastAsia" w:ascii="黑体" w:hAnsi="黑体" w:eastAsia="黑体"/>
          <w:b w:val="0"/>
          <w:color w:val="auto"/>
          <w:highlight w:val="none"/>
        </w:rPr>
        <w:t>第</w:t>
      </w:r>
      <w:r>
        <w:rPr>
          <w:rStyle w:val="28"/>
          <w:rFonts w:hint="eastAsia" w:ascii="黑体" w:hAnsi="黑体" w:eastAsia="黑体"/>
          <w:b w:val="0"/>
          <w:color w:val="auto"/>
          <w:highlight w:val="none"/>
          <w:lang w:eastAsia="zh-CN"/>
        </w:rPr>
        <w:t>三</w:t>
      </w:r>
      <w:r>
        <w:rPr>
          <w:rStyle w:val="28"/>
          <w:rFonts w:hint="eastAsia" w:ascii="黑体" w:hAnsi="黑体" w:eastAsia="黑体"/>
          <w:b w:val="0"/>
          <w:color w:val="auto"/>
          <w:highlight w:val="none"/>
        </w:rPr>
        <w:t xml:space="preserve">部分 </w:t>
      </w:r>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70"/>
      <w:bookmarkEnd w:id="71"/>
      <w:bookmarkEnd w:id="72"/>
    </w:p>
    <w:p>
      <w:pPr>
        <w:keepNext w:val="0"/>
        <w:keepLines w:val="0"/>
        <w:pageBreakBefore w:val="0"/>
        <w:widowControl w:val="0"/>
        <w:kinsoku/>
        <w:wordWrap/>
        <w:overflowPunct/>
        <w:topLinePunct w:val="0"/>
        <w:bidi w:val="0"/>
        <w:snapToGrid/>
        <w:spacing w:line="576" w:lineRule="exact"/>
        <w:jc w:val="left"/>
        <w:textAlignment w:val="auto"/>
        <w:rPr>
          <w:rFonts w:ascii="宋体"/>
          <w:b/>
          <w:color w:val="auto"/>
          <w:sz w:val="44"/>
          <w:szCs w:val="44"/>
          <w:highlight w:val="none"/>
        </w:rPr>
      </w:pPr>
    </w:p>
    <w:p>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1.财政拨款收入：指单位从同级财政部门取得的财政预算资金。</w:t>
      </w:r>
    </w:p>
    <w:p>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 xml:space="preserve">2.年初结转和结余：指以前年度尚未完成、结转到本年按有关规定继续使用的资金。 </w:t>
      </w:r>
    </w:p>
    <w:p>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4.社会保障和就业（类）行政事业单位养老（款）机关事业单位基本养老保险缴费支出（项）：指单位实施养老保险制度由单位缴纳的基本养老保险费支出。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5.社会保障和就业（类）社会福利（款）殡葬（项）：指殡葬管理及殡葬服务方面的支出，主要用于殡葬救助费用、殡葬执法宣传及火化证印刷费、无名和疑难尸体火化费、处理殡仪馆遗留问题。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6.卫生健康（类）行政事业单位医疗（款）事业单位医疗（项）：是指财政部门安排的事业单位基本医疗保险缴费经费。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7.住房保障（类）住房改革（款）住房公积金（项）：指行政事业单位按人力资源和社会保障部、财政部规定的基本工资和津贴补贴以及规定比例为职工缴纳的住房公积金。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8.基本支出：指为保障机构正常运转、完成日常工作任务而发生的人员支出和公用支出。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 xml:space="preserve">9.项目支出：指在基本支出之外为完成特定任务和事业发展目标所发生的支出。 </w:t>
      </w:r>
    </w:p>
    <w:p>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hAnsi="仿宋" w:cs="仿宋"/>
          <w:b w:val="0"/>
          <w:bCs w:val="0"/>
          <w:color w:val="auto"/>
          <w:kern w:val="0"/>
          <w:sz w:val="32"/>
          <w:szCs w:val="32"/>
          <w:lang w:val="en-US" w:eastAsia="zh-CN" w:bidi="ar-SA"/>
        </w:rPr>
        <w:t>10</w:t>
      </w:r>
      <w:r>
        <w:rPr>
          <w:rFonts w:hint="eastAsia" w:ascii="仿宋" w:hAnsi="仿宋" w:eastAsia="仿宋" w:cs="仿宋"/>
          <w:b w:val="0"/>
          <w:bCs w:val="0"/>
          <w:color w:val="auto"/>
          <w:kern w:val="0"/>
          <w:sz w:val="32"/>
          <w:szCs w:val="32"/>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8"/>
          <w:rFonts w:ascii="黑体" w:hAnsi="黑体" w:eastAsia="黑体"/>
          <w:b w:val="0"/>
          <w:color w:val="auto"/>
          <w:highlight w:val="none"/>
        </w:rPr>
      </w:pPr>
      <w:bookmarkStart w:id="73" w:name="_Toc15377226"/>
      <w:r>
        <w:rPr>
          <w:rFonts w:ascii="宋体"/>
          <w:b/>
          <w:color w:val="auto"/>
          <w:sz w:val="44"/>
          <w:szCs w:val="44"/>
          <w:highlight w:val="none"/>
        </w:rPr>
        <w:br w:type="page"/>
      </w:r>
      <w:bookmarkStart w:id="74" w:name="_Toc15396614"/>
      <w:bookmarkStart w:id="75" w:name="_Toc12387"/>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74"/>
      <w:bookmarkEnd w:id="75"/>
    </w:p>
    <w:p>
      <w:pPr>
        <w:pStyle w:val="8"/>
        <w:outlineLvl w:val="9"/>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600" w:lineRule="exact"/>
        <w:ind w:firstLine="883"/>
        <w:jc w:val="center"/>
        <w:textAlignment w:val="auto"/>
        <w:outlineLvl w:val="9"/>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1．项目主管单位在该项目管理中的职能。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sz w:val="32"/>
          <w:szCs w:val="40"/>
          <w:lang w:val="en-US" w:eastAsia="zh-CN"/>
        </w:rPr>
        <w:t>：</w:t>
      </w:r>
      <w:r>
        <w:rPr>
          <w:rFonts w:hint="eastAsia" w:ascii="仿宋" w:hAnsi="仿宋" w:eastAsia="仿宋" w:cs="仿宋"/>
          <w:b w:val="0"/>
          <w:bCs w:val="0"/>
          <w:kern w:val="0"/>
          <w:sz w:val="32"/>
          <w:szCs w:val="32"/>
          <w:lang w:val="en-US" w:eastAsia="zh-CN"/>
        </w:rPr>
        <w:t>切实发挥民政救助职能，按照标准足额发放救助经费，保护弱势群体权益得到保障，维护社会稳定。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全市殡葬宣传、督查殡葬法规执行情况，制止违法违纪行为，引导文明、健康、节俭、环保的治丧理念。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default" w:ascii="仿宋" w:hAnsi="仿宋" w:eastAsia="仿宋" w:cs="仿宋"/>
          <w:b w:val="0"/>
          <w:bCs w:val="0"/>
          <w:kern w:val="0"/>
          <w:sz w:val="32"/>
          <w:szCs w:val="32"/>
          <w:lang w:val="en-US" w:eastAsia="zh-CN"/>
        </w:rPr>
        <w:t>根据市委、市政府要求，完成城区无名尸体及涉案尸体的接运、协解、冰冻和火化工作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按照实际情况解决市殡仪馆事业身份职工遗留问题，维护社会稳定。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2．项目立项、资金申报的依据。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sz w:val="32"/>
          <w:szCs w:val="40"/>
          <w:lang w:val="en-US" w:eastAsia="zh-CN"/>
        </w:rPr>
        <w:t>：</w:t>
      </w:r>
      <w:r>
        <w:rPr>
          <w:rFonts w:hint="eastAsia" w:ascii="仿宋" w:hAnsi="仿宋" w:eastAsia="仿宋" w:cs="仿宋"/>
          <w:b w:val="0"/>
          <w:bCs w:val="0"/>
          <w:kern w:val="0"/>
          <w:sz w:val="32"/>
          <w:szCs w:val="32"/>
          <w:lang w:val="en-US" w:eastAsia="zh-CN"/>
        </w:rPr>
        <w:t>根据广元市人民政府办公室《关于实行惠民殡葬救助的通知》（广府办函〔2011〕130号）文件精神，切实贯彻市委、市政府“切实保障和改善民生，全力构建和谐社会”的要求，根据民政部《关于进一步深化殡葬改革促进殡葬事业科学发展的指导意见》（民发〔2009〕170号），市民政局决定对我市城区城镇低保人员、“三无”人员、重点优抚对象、军转企人员等实行殡葬救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《关于规范遗体火化证管理工作的通知》（广府办函〔2015〕70号）、《关于单独设置殡葬管理所的批复》（广编发〔2009〕66号）:1、使用规范的安葬、安放凭证，建立严格的登记制度。2、宗旨和业务范围要求。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eastAsia" w:ascii="仿宋" w:hAnsi="仿宋" w:eastAsia="仿宋" w:cs="仿宋"/>
          <w:b w:val="0"/>
          <w:bCs w:val="0"/>
          <w:kern w:val="0"/>
          <w:sz w:val="32"/>
          <w:szCs w:val="32"/>
          <w:lang w:val="en-US" w:eastAsia="zh-CN"/>
        </w:rPr>
        <w:t>根据《殡葬管理条例》规定及市委、市政府要求，负责处理好无名尸体火化及部分涉案尸体火化工作；市殡仪馆已完成民营化改制，新公司不再承担无名尸体火化所产生的任何费用；殡葬改革和精神文明建设要求妥善处理好无名尸体火化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市殡仪馆为市民政局直属自收自支事业单位，2004年四川龙德集团对市殡仪馆进行融资改制，市殡仪馆融资改制不彻底，原市殡仪馆事业身份职工因保险、住房公积金、薪酬等方面的遗留问题不断上访。现广元龙德公司已将处理融资改制遗留问题经费按其他非经营性国有资产收入缴入非税收入专户统筹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制定了《广元市殡葬管理所内控管理制度、资金管理办法汇编手册》。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sz w:val="32"/>
          <w:szCs w:val="40"/>
          <w:lang w:val="en-US" w:eastAsia="zh-CN"/>
        </w:rPr>
        <w:t>：</w:t>
      </w:r>
      <w:r>
        <w:rPr>
          <w:rFonts w:hint="eastAsia" w:ascii="仿宋" w:hAnsi="仿宋" w:eastAsia="仿宋" w:cs="仿宋"/>
          <w:b w:val="0"/>
          <w:bCs w:val="0"/>
          <w:kern w:val="0"/>
          <w:sz w:val="32"/>
          <w:szCs w:val="32"/>
          <w:lang w:val="en-US" w:eastAsia="zh-CN"/>
        </w:rPr>
        <w:t>进行殡葬救助；印制殡葬救助宣传品；修建接地生态墓及殡葬救助区；推行节地葬奖励；殡葬救助区维护维修费等。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电视台、广播电台、报刊等媒体进行宣传；制作若干宣传读本、标语、传单；殡葬从业人员培训；印制火化证、安葬证；职工定期下乡宣传，加大宣传范围与力度等。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eastAsia" w:ascii="仿宋" w:hAnsi="仿宋" w:eastAsia="仿宋" w:cs="仿宋"/>
          <w:b w:val="0"/>
          <w:bCs w:val="0"/>
          <w:kern w:val="0"/>
          <w:sz w:val="32"/>
          <w:szCs w:val="32"/>
          <w:lang w:val="en-US" w:eastAsia="zh-CN"/>
        </w:rPr>
        <w:t>无名及疑难尸体火化费、接运费、冰冻费、抬尸费、消毒费、协解费及日常公用经费等其他费用。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支付广元市殡仪馆在职、退休人员工资保险支出、基本公用经费（事业）。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4．资金分配的原则及考虑因素。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sz w:val="32"/>
          <w:szCs w:val="40"/>
          <w:lang w:val="en-US" w:eastAsia="zh-CN"/>
        </w:rPr>
        <w:t>：</w:t>
      </w:r>
      <w:r>
        <w:rPr>
          <w:rFonts w:hint="eastAsia" w:ascii="仿宋" w:hAnsi="仿宋" w:eastAsia="仿宋" w:cs="仿宋"/>
          <w:b w:val="0"/>
          <w:bCs w:val="0"/>
          <w:kern w:val="0"/>
          <w:sz w:val="32"/>
          <w:szCs w:val="32"/>
          <w:lang w:val="en-US" w:eastAsia="zh-CN"/>
        </w:rPr>
        <w:t>按照标准足额发放救助经费，保护弱势群体权益得到保障，维护社会稳定。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bCs/>
          <w:sz w:val="32"/>
          <w:szCs w:val="40"/>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宣传殡葬法规、规范殡葬市场、推行殡葬改革、制止殡葬乱搭乱埋现象、处置突发事件、规范管理火化证、安葬证、保护群众的正当利益。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eastAsia" w:ascii="仿宋" w:hAnsi="仿宋" w:eastAsia="仿宋" w:cs="仿宋"/>
          <w:b w:val="0"/>
          <w:bCs w:val="0"/>
          <w:kern w:val="0"/>
          <w:sz w:val="32"/>
          <w:szCs w:val="32"/>
          <w:lang w:val="en-US" w:eastAsia="zh-CN"/>
        </w:rPr>
        <w:t>严格按无名尸体处理程序处理，维护社会稳定，为政府分忧，为困难群众解难。</w:t>
      </w:r>
    </w:p>
    <w:p>
      <w:pPr>
        <w:pStyle w:val="7"/>
        <w:keepNext w:val="0"/>
        <w:keepLines w:val="0"/>
        <w:pageBreakBefore w:val="0"/>
        <w:widowControl w:val="0"/>
        <w:kinsoku/>
        <w:wordWrap/>
        <w:overflowPunct/>
        <w:topLinePunct w:val="0"/>
        <w:autoSpaceDE/>
        <w:autoSpaceDN/>
        <w:bidi w:val="0"/>
        <w:spacing w:line="576" w:lineRule="exact"/>
        <w:ind w:firstLine="640" w:firstLineChars="200"/>
        <w:outlineLvl w:val="9"/>
        <w:rPr>
          <w:rFonts w:hint="eastAsia" w:ascii="仿宋" w:hAnsi="仿宋" w:eastAsia="仿宋" w:cs="仿宋"/>
          <w:b w:val="0"/>
          <w:bCs w:val="0"/>
          <w:kern w:val="0"/>
          <w:sz w:val="32"/>
          <w:szCs w:val="32"/>
          <w:lang w:val="zh-CN" w:eastAsia="zh-CN" w:bidi="ar-SA"/>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bidi="ar-SA"/>
        </w:rPr>
        <w:t>市殡仪馆融资改制遗留问题经费用来处理殡仪馆遗留问题，减少职工上访、缠访。</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1．项目主要内容及应实现的具体绩效目标。</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b w:val="0"/>
          <w:bCs w:val="0"/>
          <w:kern w:val="0"/>
          <w:sz w:val="32"/>
          <w:szCs w:val="32"/>
          <w:lang w:val="en-US" w:eastAsia="zh-CN"/>
        </w:rPr>
        <w:t>对我市城区城镇低保人员、“三无”人员、重点优抚对象、军转企人员等实行殡葬救助150具；印制殡葬救助宣传品0.5万份；殡葬救助区维护维修费等。</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sz w:val="32"/>
          <w:szCs w:val="40"/>
          <w:lang w:val="en-US" w:eastAsia="zh-CN"/>
        </w:rPr>
      </w:pPr>
      <w:r>
        <w:rPr>
          <w:rFonts w:hint="eastAsia" w:ascii="仿宋" w:hAnsi="仿宋" w:eastAsia="仿宋" w:cs="仿宋"/>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电视台、广播电台、报刊等宣传费二批次（重点宣传新殡葬管理条例）；制作宣传读本、标语、传单若干；宣传车燃料费3万公里；宣传车维修和保险1年度；殡葬从业人员培训100人；火化证、安葬证印制费5000本；宣传人员差旅费3天/月/人。</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sz w:val="32"/>
          <w:szCs w:val="40"/>
          <w:lang w:val="en-US" w:eastAsia="zh-CN"/>
        </w:rPr>
        <w:t>（3）</w:t>
      </w:r>
      <w:r>
        <w:rPr>
          <w:rFonts w:hint="eastAsia" w:ascii="仿宋" w:hAnsi="仿宋" w:eastAsia="仿宋" w:cs="仿宋"/>
          <w:b/>
          <w:bCs/>
          <w:sz w:val="32"/>
          <w:szCs w:val="40"/>
          <w:lang w:val="en-US" w:eastAsia="zh-CN"/>
        </w:rPr>
        <w:t>无名及疑难尸体火化经费：</w:t>
      </w:r>
      <w:r>
        <w:rPr>
          <w:rFonts w:hint="eastAsia" w:ascii="仿宋" w:hAnsi="仿宋" w:eastAsia="仿宋" w:cs="仿宋"/>
          <w:b w:val="0"/>
          <w:bCs w:val="0"/>
          <w:kern w:val="0"/>
          <w:sz w:val="32"/>
          <w:szCs w:val="32"/>
          <w:lang w:val="en-US" w:eastAsia="zh-CN"/>
        </w:rPr>
        <w:t>无名及疑难尸体30具火化费、接运费、冰冻费、抬尸费、消毒费、协解费及日常公用经费等其他费用。</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lang w:val="zh-CN"/>
        </w:rPr>
      </w:pPr>
      <w:r>
        <w:rPr>
          <w:rFonts w:hint="eastAsia" w:ascii="仿宋" w:hAnsi="仿宋" w:eastAsia="仿宋" w:cs="仿宋"/>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基本公用经费（事业）10万元；在职、退休人员工资保险支出5万元。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2</w:t>
      </w:r>
      <w:r>
        <w:rPr>
          <w:rFonts w:hint="eastAsia" w:ascii="仿宋" w:hAnsi="仿宋" w:eastAsia="仿宋" w:cs="仿宋"/>
          <w:b w:val="0"/>
          <w:bCs w:val="0"/>
          <w:kern w:val="0"/>
          <w:sz w:val="32"/>
          <w:szCs w:val="32"/>
          <w:lang w:val="en-US" w:eastAsia="zh-CN"/>
        </w:rPr>
        <w:t>.</w:t>
      </w:r>
      <w:r>
        <w:rPr>
          <w:rFonts w:hint="eastAsia" w:ascii="仿宋" w:hAnsi="仿宋" w:eastAsia="仿宋" w:cs="仿宋"/>
          <w:b w:val="0"/>
          <w:bCs w:val="0"/>
          <w:kern w:val="0"/>
          <w:sz w:val="32"/>
          <w:szCs w:val="32"/>
          <w:lang w:val="zh-CN" w:eastAsia="zh-CN"/>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lang w:val="zh-CN"/>
        </w:rPr>
      </w:pPr>
      <w:r>
        <w:rPr>
          <w:rFonts w:hint="eastAsia" w:ascii="仿宋" w:hAnsi="仿宋" w:eastAsia="仿宋" w:cs="仿宋"/>
          <w:b w:val="0"/>
          <w:bCs w:val="0"/>
          <w:kern w:val="0"/>
          <w:sz w:val="32"/>
          <w:szCs w:val="32"/>
          <w:lang w:val="en-US" w:eastAsia="zh-CN"/>
        </w:rPr>
        <w:t>各项目申报内容与工作均相符，申报目标均合理可行。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本单位成立自评工作领导小组，小组根据项目自评要求认真全面地进行了绩效评价工作。建立健全财务管理制度和内控约束机制，依法、有效地使用财政资金，提高财政资金使用效率，合理分配人、财、物、完成部门职能目标，实现较高的工作效率和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val="0"/>
          <w:bCs w:val="0"/>
          <w:kern w:val="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b w:val="0"/>
          <w:bCs w:val="0"/>
          <w:kern w:val="0"/>
          <w:sz w:val="32"/>
          <w:szCs w:val="32"/>
          <w:lang w:val="en-US" w:eastAsia="zh-CN"/>
        </w:rPr>
        <w:t>切实发挥民政救助职能，按照标准足</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jc w:val="left"/>
        <w:textAlignment w:val="auto"/>
        <w:outlineLvl w:val="9"/>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额发放救助经费，保护弱势群体权益得到保障，维护社会稳定。此项目申报资金42万元，批复资金42万元。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全市殡葬宣传、督查殡葬法规执行情况，制止违法违纪行为，引导文明、健康、节俭、环保的治丧理念。此项目申报资金25万元，批复资金25万元。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default" w:ascii="仿宋" w:hAnsi="仿宋" w:eastAsia="仿宋" w:cs="仿宋"/>
          <w:b w:val="0"/>
          <w:bCs w:val="0"/>
          <w:kern w:val="0"/>
          <w:sz w:val="32"/>
          <w:szCs w:val="32"/>
          <w:lang w:val="en-US" w:eastAsia="zh-CN"/>
        </w:rPr>
        <w:t>根据市委、市政府要求，完成城区无名尸体及涉案尸体的接运、协解、冰冻和火化工作。</w:t>
      </w:r>
      <w:r>
        <w:rPr>
          <w:rFonts w:hint="eastAsia" w:ascii="仿宋" w:hAnsi="仿宋" w:eastAsia="仿宋" w:cs="仿宋"/>
          <w:b w:val="0"/>
          <w:bCs w:val="0"/>
          <w:kern w:val="0"/>
          <w:sz w:val="32"/>
          <w:szCs w:val="32"/>
          <w:lang w:val="en-US" w:eastAsia="zh-CN"/>
        </w:rPr>
        <w:t>此项目申报资金18.5万元，批复资金18.5万元。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按照实际情况解决市殡仪馆事业身份职工遗留问题，维护社会稳定。此项目申报资金15万元，批复资金15万元。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en-US" w:eastAsia="zh-CN"/>
        </w:rPr>
        <w:t>以上项目资金的申报及批复均</w:t>
      </w:r>
      <w:r>
        <w:rPr>
          <w:rFonts w:hint="eastAsia" w:ascii="仿宋" w:hAnsi="仿宋" w:eastAsia="仿宋" w:cs="仿宋"/>
          <w:b w:val="0"/>
          <w:bCs w:val="0"/>
          <w:kern w:val="0"/>
          <w:sz w:val="32"/>
          <w:szCs w:val="32"/>
          <w:lang w:val="zh-CN" w:eastAsia="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b w:val="0"/>
          <w:bCs w:val="0"/>
          <w:kern w:val="0"/>
          <w:sz w:val="32"/>
          <w:szCs w:val="32"/>
          <w:lang w:val="en-US" w:eastAsia="zh-CN"/>
        </w:rPr>
        <w:t>财政拨款资金计划42万元；财政拨款资金到位42万元，到位率100%，资金到位及时；资金使用：财政拨款资金支出29.59万元，资金使用合规合法，根据殡葬救助费用、宣传品印制、殡葬救助区维护维修费等实际发生的费用进行支付，与预算相符。</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color w:val="auto"/>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财政拨款资金计划25万元；财政拨款资金到位25万元，到位率100%，资金到位及时；资金使用：财政拨款资金支出25万元，资金使用合规合法，根据实际发生的广播、报刊、宣传单、殡葬从业人员培训、宣传用车及差旅费等宣传费，火化证、安葬证印刷费进行支付，与预算相符。</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color w:val="auto"/>
          <w:sz w:val="32"/>
          <w:szCs w:val="40"/>
          <w:lang w:val="en-US" w:eastAsia="zh-CN"/>
        </w:rPr>
        <w:t>无名及疑难尸体火化经费：</w:t>
      </w:r>
      <w:r>
        <w:rPr>
          <w:rFonts w:hint="eastAsia" w:ascii="仿宋" w:hAnsi="仿宋" w:eastAsia="仿宋" w:cs="仿宋"/>
          <w:b w:val="0"/>
          <w:bCs w:val="0"/>
          <w:kern w:val="0"/>
          <w:sz w:val="32"/>
          <w:szCs w:val="32"/>
          <w:lang w:val="en-US" w:eastAsia="zh-CN"/>
        </w:rPr>
        <w:t>财政拨款资金计划18.5万元；财政拨款资金到位18.5万元，到位率100%，资金到位及时；资金使用：财政拨款资金支出9.07万元，资金使用合规合法，根据实际发生的无名及疑难尸体费用支付，与预算相符。</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color w:val="auto"/>
          <w:sz w:val="32"/>
          <w:szCs w:val="40"/>
          <w:lang w:val="en-US" w:eastAsia="zh-CN"/>
        </w:rPr>
        <w:t>处理殡仪馆遗留问题经费：</w:t>
      </w:r>
      <w:r>
        <w:rPr>
          <w:rFonts w:hint="eastAsia" w:ascii="仿宋" w:hAnsi="仿宋" w:eastAsia="仿宋" w:cs="仿宋"/>
          <w:b w:val="0"/>
          <w:bCs w:val="0"/>
          <w:kern w:val="0"/>
          <w:sz w:val="32"/>
          <w:szCs w:val="32"/>
          <w:lang w:val="en-US" w:eastAsia="zh-CN"/>
        </w:rPr>
        <w:t>财政拨款资金计划15万元；财政拨款资金到位15万元，到位率100%，资金到位及时；资金使用：财政拨款资金支出0万元，2021年度未发生市殡仪馆在职及退休职工关于工资及保险的纠纷。</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我所制定了《广元市殡葬管理所内控管理制度、资金管理办法汇编手册》，内含收支管理制度、预算管理制度、政府采购管理制度、资产管理制度、合同管理制度等。财务处理及时，会计核算规范，</w:t>
      </w:r>
      <w:r>
        <w:rPr>
          <w:rFonts w:hint="eastAsia" w:ascii="仿宋" w:hAnsi="仿宋" w:eastAsia="仿宋" w:cs="仿宋"/>
          <w:b w:val="0"/>
          <w:bCs w:val="0"/>
          <w:kern w:val="0"/>
          <w:sz w:val="32"/>
          <w:szCs w:val="32"/>
          <w:lang w:val="zh-CN" w:eastAsia="zh-CN"/>
        </w:rPr>
        <w:t>严格执行财务管理制度</w:t>
      </w:r>
      <w:r>
        <w:rPr>
          <w:rFonts w:hint="eastAsia" w:ascii="仿宋" w:hAnsi="仿宋" w:eastAsia="仿宋" w:cs="仿宋"/>
          <w:b w:val="0"/>
          <w:bCs w:val="0"/>
          <w:kern w:val="0"/>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hint="eastAsia" w:ascii="楷体_GB2312" w:hAnsi="宋体" w:eastAsia="楷体_GB2312" w:cs="Times New Roman"/>
          <w:b/>
          <w:color w:val="0000FF"/>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sz w:val="32"/>
          <w:szCs w:val="40"/>
          <w:lang w:val="en-US" w:eastAsia="zh-CN"/>
        </w:rPr>
        <w:t>：</w:t>
      </w:r>
      <w:r>
        <w:rPr>
          <w:rFonts w:hint="eastAsia" w:ascii="仿宋" w:hAnsi="仿宋" w:eastAsia="仿宋" w:cs="仿宋"/>
          <w:b w:val="0"/>
          <w:bCs w:val="0"/>
          <w:kern w:val="0"/>
          <w:sz w:val="32"/>
          <w:szCs w:val="32"/>
          <w:lang w:val="en-US" w:eastAsia="zh-CN"/>
        </w:rPr>
        <w:t>包括进行殡葬救助、印制殡葬救助宣传品、修建接地生态墓及殡葬救助区、推行节地葬奖励、殡葬救助区维护维修费等。根据《广元市殡葬管理所内控管理制度、资金管理办法汇编手册》严格执行。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包括电视台、广播电台、报刊等媒体进行宣传，制作若干宣传读本、标语、传单，殡葬从业人员培训，印制火化证、安葬证，职工定期下乡宣传，加大宣传范围与力度等。根据《广元市殡葬管理所内控管理制度、资金管理办法汇编手册》严格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eastAsia" w:ascii="仿宋" w:hAnsi="仿宋" w:eastAsia="仿宋" w:cs="仿宋"/>
          <w:b w:val="0"/>
          <w:bCs w:val="0"/>
          <w:kern w:val="0"/>
          <w:sz w:val="32"/>
          <w:szCs w:val="32"/>
          <w:lang w:val="en-US" w:eastAsia="zh-CN"/>
        </w:rPr>
        <w:t>包括无名及疑难尸体火化费、接运费、冰冻费、抬尸费、消毒费、协解费及日常公用经费等其他费用。根据《广元市殡葬管理所内控管理制度、资金管理办法汇编手册》严格执行。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包括支付广元市殡仪馆在职、退休人员工资保险支出、基本公用经费（事业）。根据《广元市殡葬管理所内控管理制度、资金管理办法汇编手册》严格执行。</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720"/>
        <w:textAlignment w:val="auto"/>
        <w:outlineLvl w:val="9"/>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en-US" w:eastAsia="zh-CN"/>
        </w:rPr>
        <w:t>我所根据《广元市殡葬管理所内控管理制度、资金管理办法汇编手册》严格审核票据，明确了具体责任人，对工作开展情况进行严格监管，依据殡葬工作中实际发生的情况所产生的费用进行支付，降低工作成本，提高工作效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主管部门督促指导本单位完善财务监管制度，强化制度执行力度，修订完善了《广元市殡葬管理所内控管理制度、资金管理办法汇编手册》等多项财务监管制度，增强干部廉洁自律、资金防风险意识，同时，加强日常检查、纪检监察督查工作，强化制度执行力，堵塞资金收支漏洞，严防挤占、挪用资金等不良现象发生。</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1.</w:t>
      </w:r>
      <w:r>
        <w:rPr>
          <w:rFonts w:hint="eastAsia" w:ascii="仿宋" w:hAnsi="仿宋" w:eastAsia="仿宋" w:cs="仿宋"/>
          <w:b/>
          <w:bCs/>
          <w:color w:val="auto"/>
          <w:sz w:val="32"/>
          <w:szCs w:val="40"/>
          <w:lang w:val="en-US" w:eastAsia="zh-CN"/>
        </w:rPr>
        <w:t>殡葬救助经费：</w:t>
      </w:r>
      <w:r>
        <w:rPr>
          <w:rFonts w:hint="eastAsia" w:ascii="仿宋" w:hAnsi="仿宋" w:eastAsia="仿宋" w:cs="仿宋"/>
          <w:b w:val="0"/>
          <w:bCs w:val="0"/>
          <w:kern w:val="0"/>
          <w:sz w:val="32"/>
          <w:szCs w:val="32"/>
          <w:lang w:val="en-US" w:eastAsia="zh-CN"/>
        </w:rPr>
        <w:t>资金支出29.59万元：按实际救助人员情况，对我市城区城镇低保人员、“三无”人员、重点优抚对象、军转企人员等实行殡葬救助245具，支出16.95万元；殡葬救助宣传品印制0.64万元，殡葬救助区维护费12万元。此项目资金结余12.41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color w:val="auto"/>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资金支出25万元：广播、报刊、宣传单、殡葬从业人员培训、宣传用车及差旅费等宣传费，火化证印制5000本，支出25万元。此项目无资金结余。</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color w:val="auto"/>
          <w:sz w:val="32"/>
          <w:szCs w:val="40"/>
          <w:lang w:val="en-US" w:eastAsia="zh-CN"/>
        </w:rPr>
        <w:t>无名及疑难尸体火化经费：</w:t>
      </w:r>
      <w:r>
        <w:rPr>
          <w:rFonts w:hint="eastAsia" w:ascii="仿宋" w:hAnsi="仿宋" w:eastAsia="仿宋" w:cs="仿宋"/>
          <w:b w:val="0"/>
          <w:bCs w:val="0"/>
          <w:kern w:val="0"/>
          <w:sz w:val="32"/>
          <w:szCs w:val="32"/>
          <w:lang w:val="en-US" w:eastAsia="zh-CN"/>
        </w:rPr>
        <w:t>资金支出9.07万元：实际产生7具无名及疑难尸体火化费、接运费、冰冻费、抬尸费、消毒费、协解费及日常公用经费等其他费用，支出9.07万元。此项目资金结余9.43万元。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资金支出0万元，2021年度未发生市殡仪馆在职及退休职工关于工资及保险的纠纷。此项目资金结余15万元。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1.</w:t>
      </w:r>
      <w:r>
        <w:rPr>
          <w:rFonts w:hint="eastAsia" w:ascii="仿宋" w:hAnsi="仿宋" w:eastAsia="仿宋" w:cs="仿宋"/>
          <w:b/>
          <w:bCs/>
          <w:sz w:val="32"/>
          <w:szCs w:val="40"/>
          <w:lang w:val="en-US" w:eastAsia="zh-CN"/>
        </w:rPr>
        <w:t>殡葬救助经费：</w:t>
      </w:r>
      <w:r>
        <w:rPr>
          <w:rFonts w:hint="eastAsia" w:ascii="仿宋" w:hAnsi="仿宋" w:eastAsia="仿宋" w:cs="仿宋"/>
          <w:b w:val="0"/>
          <w:bCs w:val="0"/>
          <w:kern w:val="0"/>
          <w:sz w:val="32"/>
          <w:szCs w:val="32"/>
          <w:lang w:val="en-US" w:eastAsia="zh-CN"/>
        </w:rPr>
        <w:t>切实发挥民政救助职能，保护弱势群体，权益得到保障，维护社会长期稳定，取得受助人员满意度和社会满意度双赢。</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2.</w:t>
      </w:r>
      <w:r>
        <w:rPr>
          <w:rFonts w:hint="eastAsia" w:ascii="仿宋" w:hAnsi="仿宋" w:eastAsia="仿宋" w:cs="仿宋"/>
          <w:b/>
          <w:bCs/>
          <w:sz w:val="32"/>
          <w:szCs w:val="40"/>
          <w:lang w:val="en-US" w:eastAsia="zh-CN"/>
        </w:rPr>
        <w:t>殡葬执法宣传费及火化证印制费：</w:t>
      </w:r>
      <w:r>
        <w:rPr>
          <w:rFonts w:hint="eastAsia" w:ascii="仿宋" w:hAnsi="仿宋" w:eastAsia="仿宋" w:cs="仿宋"/>
          <w:b w:val="0"/>
          <w:bCs w:val="0"/>
          <w:kern w:val="0"/>
          <w:sz w:val="32"/>
          <w:szCs w:val="32"/>
          <w:lang w:val="en-US" w:eastAsia="zh-CN"/>
        </w:rPr>
        <w:t>进一步推动殡葬改革，逐步完善建立文明、节俭、环保的现代殡葬理念，促使社会持续稳定，推动绿色、文明新殡葬，促进社会文明新风尚建设，不断提高人民群众遵纪守法的水平。</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3.</w:t>
      </w:r>
      <w:r>
        <w:rPr>
          <w:rFonts w:hint="eastAsia" w:ascii="仿宋" w:hAnsi="仿宋" w:eastAsia="仿宋" w:cs="仿宋"/>
          <w:b/>
          <w:bCs/>
          <w:sz w:val="32"/>
          <w:szCs w:val="40"/>
          <w:lang w:val="en-US" w:eastAsia="zh-CN"/>
        </w:rPr>
        <w:t>无名及疑难尸体火化经费：</w:t>
      </w:r>
      <w:r>
        <w:rPr>
          <w:rFonts w:hint="eastAsia" w:ascii="仿宋" w:hAnsi="仿宋" w:eastAsia="仿宋" w:cs="仿宋"/>
          <w:b w:val="0"/>
          <w:bCs w:val="0"/>
          <w:kern w:val="0"/>
          <w:sz w:val="32"/>
          <w:szCs w:val="32"/>
          <w:lang w:val="en-US" w:eastAsia="zh-CN"/>
        </w:rPr>
        <w:t>维护社会长期持续稳定，为政府分忧，为困难群众解难。</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sz w:val="32"/>
          <w:szCs w:val="40"/>
          <w:lang w:val="en-US" w:eastAsia="zh-CN"/>
        </w:rPr>
        <w:t>4.</w:t>
      </w:r>
      <w:r>
        <w:rPr>
          <w:rFonts w:hint="eastAsia" w:ascii="仿宋" w:hAnsi="仿宋" w:eastAsia="仿宋" w:cs="仿宋"/>
          <w:b/>
          <w:bCs/>
          <w:sz w:val="32"/>
          <w:szCs w:val="40"/>
          <w:lang w:val="en-US" w:eastAsia="zh-CN"/>
        </w:rPr>
        <w:t>处理殡仪馆遗留问题经费：</w:t>
      </w:r>
      <w:r>
        <w:rPr>
          <w:rFonts w:hint="eastAsia" w:ascii="仿宋" w:hAnsi="仿宋" w:eastAsia="仿宋" w:cs="仿宋"/>
          <w:b w:val="0"/>
          <w:bCs w:val="0"/>
          <w:kern w:val="0"/>
          <w:sz w:val="32"/>
          <w:szCs w:val="32"/>
          <w:lang w:val="en-US" w:eastAsia="zh-CN"/>
        </w:rPr>
        <w:t>切实维护社会稳定，保障退休职工生活。</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en-US" w:eastAsia="zh-CN"/>
        </w:rPr>
        <w:t>通过该4个项目的实施，保障了殡葬工作的顺利开展，保护弱势群体权益得到保障，规范了殡葬市场、推行殡葬改革、制止殡葬乱搭乱埋现象、规范管理了火化证、安葬证、保护群众的正当利益，维护社会稳定。</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由于殡葬救助、无名和疑难尸体、市殡仪馆在职及退休职工关于工资及保险的纠纷的发生具有无预见性和前瞻性，故预算执行完成度具有不确定性。</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76" w:lineRule="exact"/>
        <w:ind w:firstLine="640" w:firstLineChars="200"/>
        <w:jc w:val="left"/>
        <w:textAlignment w:val="auto"/>
        <w:outlineLvl w:val="9"/>
        <w:rPr>
          <w:rFonts w:hint="eastAsia" w:ascii="仿宋" w:hAnsi="仿宋" w:eastAsia="仿宋" w:cs="仿宋"/>
          <w:b w:val="0"/>
          <w:bCs w:val="0"/>
          <w:kern w:val="0"/>
          <w:sz w:val="32"/>
          <w:szCs w:val="32"/>
          <w:lang w:val="zh-CN" w:eastAsia="zh-CN"/>
        </w:rPr>
      </w:pPr>
      <w:r>
        <w:rPr>
          <w:rFonts w:hint="eastAsia" w:ascii="仿宋" w:hAnsi="仿宋" w:eastAsia="仿宋" w:cs="仿宋"/>
          <w:b w:val="0"/>
          <w:bCs w:val="0"/>
          <w:kern w:val="0"/>
          <w:sz w:val="32"/>
          <w:szCs w:val="32"/>
          <w:lang w:val="en-US" w:eastAsia="zh-CN"/>
        </w:rPr>
        <w:t>希望市财政能理解支持相关殡葬工作，加强对部门单位的绩效业务指导与培训，</w:t>
      </w:r>
      <w:r>
        <w:rPr>
          <w:rFonts w:hint="eastAsia" w:ascii="仿宋_GB2312" w:hAnsi="仿宋_GB2312" w:eastAsia="仿宋_GB2312" w:cs="仿宋_GB2312"/>
          <w:sz w:val="32"/>
          <w:szCs w:val="32"/>
          <w:lang w:val="zh-CN"/>
        </w:rPr>
        <w:t>进一步细化项目预算，严格控制各项费用，加大评价结果应用，</w:t>
      </w:r>
      <w:r>
        <w:rPr>
          <w:rFonts w:hint="eastAsia" w:ascii="仿宋_GB2312" w:hAnsi="仿宋_GB2312" w:eastAsia="仿宋_GB2312" w:cs="仿宋_GB2312"/>
          <w:sz w:val="32"/>
          <w:szCs w:val="32"/>
          <w:lang w:val="en-US" w:eastAsia="zh-CN"/>
        </w:rPr>
        <w:t>更高效利用资金</w:t>
      </w:r>
      <w:r>
        <w:rPr>
          <w:rFonts w:hint="eastAsia" w:ascii="仿宋" w:hAnsi="仿宋" w:eastAsia="仿宋" w:cs="仿宋"/>
          <w:b w:val="0"/>
          <w:bCs w:val="0"/>
          <w:kern w:val="0"/>
          <w:sz w:val="32"/>
          <w:szCs w:val="32"/>
          <w:lang w:val="en-US" w:eastAsia="zh-CN"/>
        </w:rPr>
        <w:t>。</w:t>
      </w: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ind w:left="0" w:leftChars="0" w:firstLine="0" w:firstLineChars="0"/>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ind w:left="0" w:leftChars="0" w:firstLine="0" w:firstLineChars="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Start w:id="76" w:name="_Toc15396618"/>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olor w:val="auto"/>
          <w:sz w:val="44"/>
          <w:szCs w:val="44"/>
          <w:highlight w:val="none"/>
        </w:rPr>
      </w:pPr>
      <w:r>
        <w:rPr>
          <w:rFonts w:hint="eastAsia" w:ascii="黑体" w:hAnsi="黑体" w:eastAsia="黑体" w:cs="黑体"/>
          <w:color w:val="auto"/>
          <w:sz w:val="32"/>
          <w:szCs w:val="32"/>
          <w:highlight w:val="none"/>
          <w:lang w:val="en-US" w:eastAsia="zh-CN"/>
        </w:rPr>
        <w:pict>
          <v:shape id="_x0000_s1035" o:spid="_x0000_s1035" o:spt="75" type="#_x0000_t75" style="position:absolute;left:0pt;margin-left:-35.6pt;margin-top:0.05pt;height:627.15pt;width:528.3pt;z-index:251666432;mso-width-relative:page;mso-height-relative:page;" o:ole="t" filled="f" o:preferrelative="t" stroked="f" coordsize="21600,21600">
            <v:path/>
            <v:fill on="f" focussize="0,0"/>
            <v:stroke on="f"/>
            <v:imagedata r:id="rId25" o:title=""/>
            <o:lock v:ext="edit" aspectratio="t"/>
          </v:shape>
          <o:OLEObject Type="Embed" ProgID="Excel.Sheet.8" ShapeID="_x0000_s1035" DrawAspect="Content" ObjectID="_1468075732" r:id="rId24">
            <o:LockedField>false</o:LockedField>
          </o:OLEObject>
        </w:pic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ind w:left="0" w:leftChars="0" w:firstLine="0" w:firstLineChars="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r>
        <w:rPr>
          <w:rFonts w:hint="eastAsia" w:ascii="黑体" w:hAnsi="黑体" w:eastAsia="黑体"/>
          <w:color w:val="auto"/>
          <w:sz w:val="44"/>
          <w:szCs w:val="44"/>
          <w:highlight w:val="none"/>
          <w:lang w:eastAsia="zh-CN"/>
        </w:rPr>
        <w:pict>
          <v:shape id="_x0000_s1036" o:spid="_x0000_s1036" o:spt="75" type="#_x0000_t75" style="position:absolute;left:0pt;margin-left:-27.25pt;margin-top:11.95pt;height:631.5pt;width:478.7pt;z-index:251667456;mso-width-relative:page;mso-height-relative:page;" o:ole="t" filled="f" o:preferrelative="t" stroked="f" coordsize="21600,21600">
            <v:path/>
            <v:fill on="f" focussize="0,0"/>
            <v:stroke on="f"/>
            <v:imagedata r:id="rId27" o:title=""/>
            <o:lock v:ext="edit" aspectratio="t"/>
          </v:shape>
          <o:OLEObject Type="Embed" ProgID="Excel.Sheet.8" ShapeID="_x0000_s1036" DrawAspect="Content" ObjectID="_1468075733" r:id="rId26">
            <o:LockedField>false</o:LockedField>
          </o:OLEObject>
        </w:pic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lang w:eastAsia="zh-CN"/>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r>
        <w:rPr>
          <w:rFonts w:hint="eastAsia" w:ascii="黑体" w:hAnsi="黑体" w:eastAsia="黑体"/>
          <w:color w:val="auto"/>
          <w:sz w:val="44"/>
          <w:szCs w:val="44"/>
          <w:highlight w:val="none"/>
          <w:lang w:eastAsia="zh-CN"/>
        </w:rPr>
        <w:pict>
          <v:shape id="_x0000_s1037" o:spid="_x0000_s1037" o:spt="75" type="#_x0000_t75" style="position:absolute;left:0pt;margin-left:-16.2pt;margin-top:0.35pt;height:652.35pt;width:458.6pt;z-index:251668480;mso-width-relative:page;mso-height-relative:page;" o:ole="t" filled="f" o:preferrelative="t" stroked="f" coordsize="21600,21600">
            <v:path/>
            <v:fill on="f" focussize="0,0"/>
            <v:stroke on="f"/>
            <v:imagedata r:id="rId29" o:title=""/>
            <o:lock v:ext="edit" aspectratio="t"/>
          </v:shape>
          <o:OLEObject Type="Embed" ProgID="Excel.Sheet.8" ShapeID="_x0000_s1037" DrawAspect="Content" ObjectID="_1468075734" r:id="rId28">
            <o:LockedField>false</o:LockedField>
          </o:OLEObject>
        </w:pict>
      </w:r>
    </w:p>
    <w:p>
      <w:pPr>
        <w:pStyle w:val="2"/>
        <w:rPr>
          <w:rFonts w:hint="eastAsia" w:ascii="黑体" w:hAnsi="黑体" w:eastAsia="黑体"/>
          <w:color w:val="auto"/>
          <w:sz w:val="44"/>
          <w:szCs w:val="44"/>
          <w:highlight w:val="none"/>
        </w:rPr>
      </w:pPr>
    </w:p>
    <w:p>
      <w:pPr>
        <w:pStyle w:val="2"/>
        <w:ind w:left="0" w:leftChars="0" w:firstLine="0" w:firstLineChars="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lang w:eastAsia="zh-CN"/>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600" w:lineRule="exact"/>
        <w:jc w:val="center"/>
        <w:outlineLvl w:val="9"/>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lang w:eastAsia="zh-CN"/>
        </w:rPr>
        <w:pict>
          <v:shape id="_x0000_s1040" o:spid="_x0000_s1040" o:spt="75" type="#_x0000_t75" style="position:absolute;left:0pt;margin-left:-26.5pt;margin-top:0pt;height:512.6pt;width:464.15pt;z-index:251669504;mso-width-relative:page;mso-height-relative:page;" o:ole="t" filled="f" o:preferrelative="t" stroked="f" coordsize="21600,21600">
            <v:path/>
            <v:fill on="f" focussize="0,0"/>
            <v:stroke on="f"/>
            <v:imagedata r:id="rId31" o:title=""/>
            <o:lock v:ext="edit" aspectratio="t"/>
          </v:shape>
          <o:OLEObject Type="Embed" ProgID="Excel.Sheet.8" ShapeID="_x0000_s1040" DrawAspect="Content" ObjectID="_1468075735" r:id="rId30">
            <o:LockedField>false</o:LockedField>
          </o:OLEObject>
        </w:pict>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7" w:name="_Toc25482"/>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73"/>
      <w:bookmarkEnd w:id="76"/>
      <w:bookmarkEnd w:id="77"/>
      <w:bookmarkStart w:id="78" w:name="_Toc15396619"/>
    </w:p>
    <w:p>
      <w:pPr>
        <w:pStyle w:val="5"/>
        <w:rPr>
          <w:rFonts w:ascii="仿宋" w:hAnsi="仿宋" w:eastAsia="仿宋"/>
          <w:color w:val="auto"/>
          <w:highlight w:val="none"/>
        </w:rPr>
      </w:pPr>
      <w:bookmarkStart w:id="79" w:name="_Toc10717"/>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8"/>
      <w:bookmarkEnd w:id="79"/>
    </w:p>
    <w:p>
      <w:pPr>
        <w:pStyle w:val="5"/>
        <w:rPr>
          <w:rFonts w:ascii="仿宋" w:hAnsi="仿宋" w:eastAsia="仿宋"/>
          <w:color w:val="auto"/>
          <w:highlight w:val="none"/>
        </w:rPr>
      </w:pPr>
      <w:bookmarkStart w:id="80" w:name="_Toc4993"/>
      <w:bookmarkStart w:id="81"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80"/>
      <w:bookmarkEnd w:id="81"/>
    </w:p>
    <w:p>
      <w:pPr>
        <w:pStyle w:val="5"/>
        <w:rPr>
          <w:rFonts w:ascii="仿宋" w:hAnsi="仿宋" w:eastAsia="仿宋"/>
          <w:color w:val="auto"/>
          <w:highlight w:val="none"/>
        </w:rPr>
      </w:pPr>
      <w:bookmarkStart w:id="82" w:name="_Toc15396621"/>
      <w:bookmarkStart w:id="83" w:name="_Toc19693"/>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82"/>
      <w:bookmarkEnd w:id="83"/>
    </w:p>
    <w:p>
      <w:pPr>
        <w:pStyle w:val="5"/>
        <w:rPr>
          <w:rFonts w:ascii="仿宋" w:hAnsi="仿宋" w:eastAsia="仿宋"/>
          <w:b w:val="0"/>
          <w:color w:val="auto"/>
          <w:highlight w:val="none"/>
        </w:rPr>
      </w:pPr>
      <w:bookmarkStart w:id="84" w:name="_Toc30993"/>
      <w:bookmarkStart w:id="85"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84"/>
      <w:bookmarkEnd w:id="85"/>
    </w:p>
    <w:p>
      <w:pPr>
        <w:pStyle w:val="5"/>
        <w:rPr>
          <w:rStyle w:val="29"/>
          <w:rFonts w:ascii="仿宋" w:hAnsi="仿宋" w:eastAsia="仿宋"/>
          <w:b w:val="0"/>
          <w:bCs w:val="0"/>
          <w:color w:val="auto"/>
          <w:highlight w:val="none"/>
        </w:rPr>
      </w:pPr>
      <w:bookmarkStart w:id="86" w:name="_Toc15396623"/>
      <w:bookmarkStart w:id="87" w:name="_Toc31005"/>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86"/>
      <w:bookmarkEnd w:id="87"/>
      <w:bookmarkStart w:id="88" w:name="_Toc15396624"/>
    </w:p>
    <w:p>
      <w:pPr>
        <w:pStyle w:val="5"/>
        <w:rPr>
          <w:rFonts w:ascii="仿宋" w:hAnsi="仿宋" w:eastAsia="仿宋"/>
          <w:color w:val="auto"/>
          <w:highlight w:val="none"/>
        </w:rPr>
      </w:pPr>
      <w:bookmarkStart w:id="89" w:name="_Toc639"/>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8"/>
      <w:bookmarkEnd w:id="89"/>
    </w:p>
    <w:p>
      <w:pPr>
        <w:pStyle w:val="5"/>
        <w:rPr>
          <w:rFonts w:ascii="仿宋" w:hAnsi="仿宋" w:eastAsia="仿宋"/>
          <w:color w:val="auto"/>
          <w:highlight w:val="none"/>
        </w:rPr>
      </w:pPr>
      <w:bookmarkStart w:id="90" w:name="_Toc17658"/>
      <w:bookmarkStart w:id="91"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90"/>
      <w:bookmarkEnd w:id="91"/>
    </w:p>
    <w:p>
      <w:pPr>
        <w:pStyle w:val="5"/>
        <w:rPr>
          <w:rFonts w:ascii="仿宋" w:hAnsi="仿宋" w:eastAsia="仿宋"/>
          <w:color w:val="auto"/>
          <w:highlight w:val="none"/>
        </w:rPr>
      </w:pPr>
      <w:bookmarkStart w:id="92" w:name="_Toc12311"/>
      <w:bookmarkStart w:id="93"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92"/>
      <w:bookmarkEnd w:id="93"/>
    </w:p>
    <w:p>
      <w:pPr>
        <w:pStyle w:val="5"/>
        <w:rPr>
          <w:rFonts w:ascii="仿宋" w:hAnsi="仿宋" w:eastAsia="仿宋"/>
          <w:color w:val="auto"/>
          <w:highlight w:val="none"/>
        </w:rPr>
      </w:pPr>
      <w:bookmarkStart w:id="94" w:name="_Toc15396627"/>
      <w:bookmarkStart w:id="95" w:name="_Toc11206"/>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94"/>
      <w:bookmarkEnd w:id="95"/>
    </w:p>
    <w:p>
      <w:pPr>
        <w:pStyle w:val="5"/>
        <w:rPr>
          <w:rFonts w:ascii="仿宋" w:hAnsi="仿宋" w:eastAsia="仿宋"/>
          <w:color w:val="auto"/>
          <w:highlight w:val="none"/>
        </w:rPr>
      </w:pPr>
      <w:bookmarkStart w:id="96" w:name="_Toc17299"/>
      <w:bookmarkStart w:id="97" w:name="_Toc1539662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96"/>
      <w:bookmarkEnd w:id="97"/>
    </w:p>
    <w:p>
      <w:pPr>
        <w:pStyle w:val="5"/>
        <w:rPr>
          <w:rFonts w:ascii="仿宋" w:hAnsi="仿宋" w:eastAsia="仿宋"/>
          <w:color w:val="auto"/>
          <w:highlight w:val="none"/>
        </w:rPr>
      </w:pPr>
      <w:bookmarkStart w:id="98" w:name="_Toc21968"/>
      <w:bookmarkStart w:id="99"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8"/>
      <w:bookmarkEnd w:id="99"/>
    </w:p>
    <w:p>
      <w:pPr>
        <w:pStyle w:val="5"/>
        <w:rPr>
          <w:rFonts w:ascii="仿宋" w:hAnsi="仿宋" w:eastAsia="仿宋"/>
          <w:color w:val="auto"/>
          <w:highlight w:val="none"/>
        </w:rPr>
      </w:pPr>
      <w:bookmarkStart w:id="100" w:name="_Toc15396630"/>
      <w:bookmarkStart w:id="101" w:name="_Toc25497"/>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100"/>
      <w:bookmarkEnd w:id="101"/>
    </w:p>
    <w:p>
      <w:pPr>
        <w:pStyle w:val="5"/>
        <w:rPr>
          <w:rStyle w:val="29"/>
          <w:rFonts w:hint="eastAsia" w:ascii="仿宋" w:hAnsi="仿宋" w:eastAsia="仿宋"/>
          <w:b w:val="0"/>
          <w:bCs w:val="0"/>
          <w:color w:val="auto"/>
          <w:highlight w:val="none"/>
        </w:rPr>
      </w:pPr>
      <w:bookmarkStart w:id="102" w:name="_Toc15396631"/>
      <w:bookmarkStart w:id="103" w:name="_Toc14449"/>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2"/>
      <w:bookmarkEnd w:id="103"/>
    </w:p>
    <w:p>
      <w:pPr>
        <w:outlineLvl w:val="1"/>
        <w:rPr>
          <w:rFonts w:hint="eastAsia" w:eastAsia="仿宋"/>
          <w:color w:val="auto"/>
          <w:highlight w:val="none"/>
          <w:lang w:eastAsia="zh-CN"/>
        </w:rPr>
      </w:pPr>
      <w:bookmarkStart w:id="104" w:name="_Toc7232"/>
      <w:r>
        <w:rPr>
          <w:rStyle w:val="29"/>
          <w:rFonts w:hint="eastAsia" w:ascii="仿宋" w:hAnsi="仿宋" w:eastAsia="仿宋"/>
          <w:b w:val="0"/>
          <w:bCs w:val="0"/>
          <w:color w:val="auto"/>
          <w:highlight w:val="none"/>
          <w:lang w:eastAsia="zh-CN"/>
        </w:rPr>
        <w:t>十四、国有资本经营预算财政拨款支出决算表</w:t>
      </w:r>
      <w:bookmarkEnd w:id="104"/>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D40790-83DC-4809-9D9B-949FE8A1F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9D015A77-2D26-4B15-ADFF-F8F15577E018}"/>
  </w:font>
  <w:font w:name="仿宋_GB2312">
    <w:altName w:val="仿宋"/>
    <w:panose1 w:val="02010609030101010101"/>
    <w:charset w:val="86"/>
    <w:family w:val="modern"/>
    <w:pitch w:val="default"/>
    <w:sig w:usb0="00000000" w:usb1="00000000" w:usb2="00000000" w:usb3="00000000" w:csb0="00040000" w:csb1="00000000"/>
    <w:embedRegular r:id="rId3" w:fontKey="{F4FCDEBB-BB5D-4C75-A4E1-BBD01222CF45}"/>
  </w:font>
  <w:font w:name="仿宋">
    <w:panose1 w:val="02010609060101010101"/>
    <w:charset w:val="86"/>
    <w:family w:val="auto"/>
    <w:pitch w:val="default"/>
    <w:sig w:usb0="800002BF" w:usb1="38CF7CFA" w:usb2="00000016" w:usb3="00000000" w:csb0="00040001" w:csb1="00000000"/>
    <w:embedRegular r:id="rId4" w:fontKey="{6A34487A-5D09-453E-A8CB-885C23902D0E}"/>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8EEC89F0-1A36-4FBD-B7A4-FAD25787D529}"/>
  </w:font>
  <w:font w:name="楷体">
    <w:panose1 w:val="02010609060101010101"/>
    <w:charset w:val="86"/>
    <w:family w:val="auto"/>
    <w:pitch w:val="default"/>
    <w:sig w:usb0="800002BF" w:usb1="38CF7CFA" w:usb2="00000016" w:usb3="00000000" w:csb0="00040001" w:csb1="00000000"/>
    <w:embedRegular r:id="rId6" w:fontKey="{CCB26106-2D2A-43CA-91F1-30A5BDF7F469}"/>
  </w:font>
  <w:font w:name="楷体_GB2312">
    <w:altName w:val="楷体"/>
    <w:panose1 w:val="02010609030101010101"/>
    <w:charset w:val="86"/>
    <w:family w:val="auto"/>
    <w:pitch w:val="default"/>
    <w:sig w:usb0="00000000" w:usb1="00000000" w:usb2="00000000" w:usb3="00000000" w:csb0="00040000" w:csb1="00000000"/>
    <w:embedRegular r:id="rId7" w:fontKey="{EEB0347D-D583-4805-9AC1-6F6290E4823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rFonts w:hint="eastAsia" w:ascii="宋体" w:hAnsi="宋体" w:eastAsia="宋体" w:cs="宋体"/>
        <w:sz w:val="28"/>
        <w:szCs w:val="28"/>
      </w:rPr>
    </w:sdtEndPr>
    <w:sdtContent>
      <w:p>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EndPr>
                            <w:rPr>
                              <w:rFonts w:hint="eastAsia" w:ascii="宋体" w:hAnsi="宋体" w:eastAsia="宋体" w:cs="宋体"/>
                              <w:sz w:val="28"/>
                              <w:szCs w:val="28"/>
                            </w:rPr>
                          </w:sdtEndPr>
                          <w:sdtContent>
                            <w:p>
                              <w:pPr>
                                <w:pStyle w:val="1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EndPr>
                      <w:rPr>
                        <w:rFonts w:hint="eastAsia" w:ascii="宋体" w:hAnsi="宋体" w:eastAsia="宋体" w:cs="宋体"/>
                        <w:sz w:val="28"/>
                        <w:szCs w:val="28"/>
                      </w:rPr>
                    </w:sdtEndPr>
                    <w:sdtContent>
                      <w:p>
                        <w:pPr>
                          <w:pStyle w:val="1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sdtContent>
                  </w:sdt>
                  <w:p>
                    <w:pPr>
                      <w:pStyle w:val="2"/>
                    </w:pP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posOffset>2601595</wp:posOffset>
              </wp:positionH>
              <wp:positionV relativeFrom="paragraph">
                <wp:posOffset>-118745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85pt;margin-top:-9.35pt;height:144pt;width:144pt;mso-position-horizontal-relative:margin;mso-wrap-style:none;z-index:251666432;mso-width-relative:page;mso-height-relative:page;" filled="f" stroked="f" coordsize="21600,21600" o:gfxdata="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UhdwfZAAAACw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zNiNzI3YjUyMWFkNTdkMjZiZGFiZDBiYjIyN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6282"/>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A0E48"/>
    <w:rsid w:val="01B7027B"/>
    <w:rsid w:val="01D204C0"/>
    <w:rsid w:val="027520D7"/>
    <w:rsid w:val="05F6364B"/>
    <w:rsid w:val="07434E4C"/>
    <w:rsid w:val="0A2032A3"/>
    <w:rsid w:val="0AC05658"/>
    <w:rsid w:val="0B8A37D8"/>
    <w:rsid w:val="0BE851D0"/>
    <w:rsid w:val="0DB44AD7"/>
    <w:rsid w:val="0DFE36C6"/>
    <w:rsid w:val="10C055FF"/>
    <w:rsid w:val="118107EC"/>
    <w:rsid w:val="11DD6519"/>
    <w:rsid w:val="121F796A"/>
    <w:rsid w:val="14567883"/>
    <w:rsid w:val="16BB723D"/>
    <w:rsid w:val="175369F9"/>
    <w:rsid w:val="17B9260F"/>
    <w:rsid w:val="18015F3F"/>
    <w:rsid w:val="18FF1DFC"/>
    <w:rsid w:val="19311793"/>
    <w:rsid w:val="19AA0461"/>
    <w:rsid w:val="1A51351D"/>
    <w:rsid w:val="1BE8440E"/>
    <w:rsid w:val="1D155CEE"/>
    <w:rsid w:val="1DF750B0"/>
    <w:rsid w:val="1EDD66F3"/>
    <w:rsid w:val="1F8C1E5C"/>
    <w:rsid w:val="20F57F95"/>
    <w:rsid w:val="21124F32"/>
    <w:rsid w:val="240371BF"/>
    <w:rsid w:val="25C741E6"/>
    <w:rsid w:val="27842671"/>
    <w:rsid w:val="279F4785"/>
    <w:rsid w:val="28AC5FA3"/>
    <w:rsid w:val="28AD3ACA"/>
    <w:rsid w:val="29380B5B"/>
    <w:rsid w:val="29FD04D3"/>
    <w:rsid w:val="2ABE7A3E"/>
    <w:rsid w:val="2B824414"/>
    <w:rsid w:val="2EC131D7"/>
    <w:rsid w:val="2EFA178C"/>
    <w:rsid w:val="306C04B5"/>
    <w:rsid w:val="30B46D73"/>
    <w:rsid w:val="314F6121"/>
    <w:rsid w:val="319F7F4E"/>
    <w:rsid w:val="34CA7E0D"/>
    <w:rsid w:val="37D207F5"/>
    <w:rsid w:val="38FD7005"/>
    <w:rsid w:val="39634528"/>
    <w:rsid w:val="39697BFA"/>
    <w:rsid w:val="39AE70AB"/>
    <w:rsid w:val="39ED7F40"/>
    <w:rsid w:val="39F96B6F"/>
    <w:rsid w:val="3B4253B9"/>
    <w:rsid w:val="3C0C0783"/>
    <w:rsid w:val="3D337404"/>
    <w:rsid w:val="3D6439D4"/>
    <w:rsid w:val="3F057D64"/>
    <w:rsid w:val="3F795B0E"/>
    <w:rsid w:val="3F9F3A96"/>
    <w:rsid w:val="40350D30"/>
    <w:rsid w:val="40B90F2A"/>
    <w:rsid w:val="41391F47"/>
    <w:rsid w:val="431D631E"/>
    <w:rsid w:val="43D84365"/>
    <w:rsid w:val="44F87590"/>
    <w:rsid w:val="44FE6CE7"/>
    <w:rsid w:val="450743C5"/>
    <w:rsid w:val="46AF3E0B"/>
    <w:rsid w:val="47CF1E9A"/>
    <w:rsid w:val="493C27E9"/>
    <w:rsid w:val="496F39ED"/>
    <w:rsid w:val="49FF41D3"/>
    <w:rsid w:val="4A185DC8"/>
    <w:rsid w:val="4A3C34B4"/>
    <w:rsid w:val="4B68728F"/>
    <w:rsid w:val="4BE068DB"/>
    <w:rsid w:val="4BF6002B"/>
    <w:rsid w:val="4C0776F6"/>
    <w:rsid w:val="4CAD2834"/>
    <w:rsid w:val="4D6D0837"/>
    <w:rsid w:val="4D7678F6"/>
    <w:rsid w:val="4ECE2238"/>
    <w:rsid w:val="4F8F64D3"/>
    <w:rsid w:val="4FAC7AFF"/>
    <w:rsid w:val="4FC16A35"/>
    <w:rsid w:val="50A17ADE"/>
    <w:rsid w:val="51DB4B86"/>
    <w:rsid w:val="55333C3E"/>
    <w:rsid w:val="560E2E41"/>
    <w:rsid w:val="56327239"/>
    <w:rsid w:val="5642595A"/>
    <w:rsid w:val="58584F50"/>
    <w:rsid w:val="5AA31894"/>
    <w:rsid w:val="5DA80D88"/>
    <w:rsid w:val="5F1E1690"/>
    <w:rsid w:val="60BE7ED2"/>
    <w:rsid w:val="60ED1F25"/>
    <w:rsid w:val="64CA39A1"/>
    <w:rsid w:val="651B533C"/>
    <w:rsid w:val="65304C99"/>
    <w:rsid w:val="68BA249F"/>
    <w:rsid w:val="6A366774"/>
    <w:rsid w:val="6ADF127C"/>
    <w:rsid w:val="6C4A05C8"/>
    <w:rsid w:val="6E807917"/>
    <w:rsid w:val="710345CD"/>
    <w:rsid w:val="72734D90"/>
    <w:rsid w:val="727E292F"/>
    <w:rsid w:val="739A584A"/>
    <w:rsid w:val="742524FB"/>
    <w:rsid w:val="742D4673"/>
    <w:rsid w:val="7546367B"/>
    <w:rsid w:val="75702561"/>
    <w:rsid w:val="785B1EE0"/>
    <w:rsid w:val="78D21211"/>
    <w:rsid w:val="79E7B28D"/>
    <w:rsid w:val="7AF406B1"/>
    <w:rsid w:val="7C775BAB"/>
    <w:rsid w:val="7E1A3F8B"/>
    <w:rsid w:val="7F9F20EE"/>
    <w:rsid w:val="9E3A10E2"/>
    <w:rsid w:val="D6995D7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kern w:val="0"/>
      <w:sz w:val="20"/>
      <w:szCs w:val="22"/>
    </w:rPr>
  </w:style>
  <w:style w:type="paragraph" w:styleId="3">
    <w:name w:val="Body Text Indent"/>
    <w:basedOn w:val="1"/>
    <w:qFormat/>
    <w:uiPriority w:val="99"/>
    <w:pPr>
      <w:spacing w:after="120"/>
      <w:ind w:left="420" w:leftChars="200"/>
    </w:pPr>
  </w:style>
  <w:style w:type="paragraph" w:styleId="7">
    <w:name w:val="Salutation"/>
    <w:basedOn w:val="1"/>
    <w:next w:val="1"/>
    <w:qFormat/>
    <w:uiPriority w:val="0"/>
    <w:pPr>
      <w:jc w:val="both"/>
      <w:textAlignment w:val="baseline"/>
    </w:pPr>
    <w:rPr>
      <w:rFonts w:ascii="Times New Roman" w:hAnsi="Times New Roman" w:eastAsia="宋体"/>
      <w:kern w:val="2"/>
      <w:sz w:val="21"/>
      <w:szCs w:val="24"/>
      <w:lang w:val="en-US" w:eastAsia="zh-CN" w:bidi="ar-SA"/>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正文1"/>
    <w:basedOn w:val="1"/>
    <w:qFormat/>
    <w:uiPriority w:val="0"/>
    <w:pPr>
      <w:widowControl/>
    </w:pPr>
    <w:rPr>
      <w:rFonts w:ascii="Calibri" w:hAnsi="Calibri" w:cs="宋体"/>
    </w:rPr>
  </w:style>
  <w:style w:type="paragraph" w:customStyle="1" w:styleId="35">
    <w:name w:val="常用样式（方正仿宋简）"/>
    <w:basedOn w:val="1"/>
    <w:qFormat/>
    <w:uiPriority w:val="0"/>
    <w:pPr>
      <w:spacing w:line="560" w:lineRule="exact"/>
      <w:ind w:firstLine="640" w:firstLineChars="200"/>
    </w:pPr>
    <w:rPr>
      <w:rFonts w:eastAsia="方正仿宋简体"/>
      <w:sz w:val="32"/>
      <w:szCs w:val="32"/>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1.e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emf"/><Relationship Id="rId28" Type="http://schemas.openxmlformats.org/officeDocument/2006/relationships/oleObject" Target="embeddings/oleObject10.bin"/><Relationship Id="rId27" Type="http://schemas.openxmlformats.org/officeDocument/2006/relationships/image" Target="media/image9.emf"/><Relationship Id="rId26" Type="http://schemas.openxmlformats.org/officeDocument/2006/relationships/oleObject" Target="embeddings/oleObject9.bin"/><Relationship Id="rId25" Type="http://schemas.openxmlformats.org/officeDocument/2006/relationships/image" Target="media/image8.emf"/><Relationship Id="rId24" Type="http://schemas.openxmlformats.org/officeDocument/2006/relationships/oleObject" Target="embeddings/oleObject8.bin"/><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4"/>
    <customShpInfo spid="_x0000_s1035"/>
    <customShpInfo spid="_x0000_s1036"/>
    <customShpInfo spid="_x0000_s103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9719</Words>
  <Characters>10233</Characters>
  <Lines>61</Lines>
  <Paragraphs>17</Paragraphs>
  <TotalTime>53</TotalTime>
  <ScaleCrop>false</ScaleCrop>
  <LinksUpToDate>false</LinksUpToDate>
  <CharactersWithSpaces>10368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开心摇摇头 </cp:lastModifiedBy>
  <cp:lastPrinted>2022-08-06T10:23:00Z</cp:lastPrinted>
  <dcterms:modified xsi:type="dcterms:W3CDTF">2023-06-27T08:13:15Z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AB7334303F414689AC6C055766405994</vt:lpwstr>
  </property>
</Properties>
</file>