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800" w:lineRule="exact"/>
        <w:jc w:val="both"/>
        <w:textAlignment w:val="auto"/>
        <w:outlineLvl w:val="0"/>
        <w:rPr>
          <w:rFonts w:hint="eastAsia" w:ascii="方正小标宋简体" w:hAnsi="方正小标宋简体" w:eastAsia="方正小标宋简体" w:cs="方正小标宋简体"/>
          <w:sz w:val="72"/>
          <w:szCs w:val="72"/>
        </w:rPr>
      </w:pPr>
      <w:bookmarkStart w:id="0" w:name="_Toc15377425"/>
      <w:bookmarkStart w:id="1" w:name="_Toc15396597"/>
      <w:bookmarkStart w:id="2" w:name="_Toc15396475"/>
      <w:bookmarkStart w:id="3" w:name="_Toc15377193"/>
      <w:bookmarkStart w:id="4" w:name="_Toc15378441"/>
      <w:bookmarkStart w:id="5" w:name="_Toc15306267"/>
    </w:p>
    <w:p>
      <w:pPr>
        <w:keepNext w:val="0"/>
        <w:keepLines w:val="0"/>
        <w:pageBreakBefore w:val="0"/>
        <w:widowControl w:val="0"/>
        <w:kinsoku/>
        <w:wordWrap/>
        <w:overflowPunct/>
        <w:topLinePunct w:val="0"/>
        <w:autoSpaceDE/>
        <w:autoSpaceDN/>
        <w:bidi w:val="0"/>
        <w:adjustRightInd w:val="0"/>
        <w:snapToGrid w:val="0"/>
        <w:spacing w:line="800" w:lineRule="exact"/>
        <w:jc w:val="both"/>
        <w:textAlignment w:val="auto"/>
        <w:outlineLvl w:val="0"/>
        <w:rPr>
          <w:rFonts w:hint="eastAsia" w:ascii="方正小标宋简体" w:hAnsi="方正小标宋简体" w:eastAsia="方正小标宋简体" w:cs="方正小标宋简体"/>
          <w:sz w:val="72"/>
          <w:szCs w:val="72"/>
        </w:rPr>
      </w:pPr>
    </w:p>
    <w:p>
      <w:pPr>
        <w:keepNext w:val="0"/>
        <w:keepLines w:val="0"/>
        <w:pageBreakBefore w:val="0"/>
        <w:widowControl w:val="0"/>
        <w:kinsoku/>
        <w:wordWrap/>
        <w:overflowPunct/>
        <w:topLinePunct w:val="0"/>
        <w:autoSpaceDE/>
        <w:autoSpaceDN/>
        <w:bidi w:val="0"/>
        <w:adjustRightInd w:val="0"/>
        <w:snapToGrid w:val="0"/>
        <w:spacing w:line="800" w:lineRule="exact"/>
        <w:jc w:val="both"/>
        <w:textAlignment w:val="auto"/>
        <w:outlineLvl w:val="0"/>
        <w:rPr>
          <w:rFonts w:hint="eastAsia" w:ascii="方正小标宋简体" w:hAnsi="方正小标宋简体" w:eastAsia="方正小标宋简体" w:cs="方正小标宋简体"/>
          <w:sz w:val="72"/>
          <w:szCs w:val="72"/>
        </w:rPr>
      </w:pPr>
    </w:p>
    <w:p>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outlineLvl w:val="0"/>
        <w:rPr>
          <w:ins w:id="0" w:author="LJ" w:date="2023-06-28T15:34:10Z"/>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2021年</w:t>
      </w:r>
      <w:bookmarkEnd w:id="0"/>
      <w:bookmarkEnd w:id="1"/>
      <w:bookmarkEnd w:id="2"/>
      <w:bookmarkEnd w:id="3"/>
      <w:bookmarkEnd w:id="4"/>
      <w:bookmarkStart w:id="6" w:name="_Toc15378442"/>
      <w:bookmarkStart w:id="7" w:name="_Toc15396476"/>
      <w:bookmarkStart w:id="8" w:name="_Toc15377194"/>
      <w:bookmarkStart w:id="9" w:name="_Toc15377426"/>
      <w:bookmarkStart w:id="10" w:name="_Toc15396598"/>
    </w:p>
    <w:p>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outlineLvl w:val="0"/>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rPr>
        <w:t>广元市</w:t>
      </w:r>
      <w:bookmarkEnd w:id="5"/>
      <w:bookmarkStart w:id="11" w:name="_Toc15306268"/>
      <w:r>
        <w:rPr>
          <w:rFonts w:hint="eastAsia" w:ascii="方正小标宋简体" w:hAnsi="方正小标宋简体" w:eastAsia="方正小标宋简体" w:cs="方正小标宋简体"/>
          <w:sz w:val="72"/>
          <w:szCs w:val="72"/>
        </w:rPr>
        <w:t>民政局</w:t>
      </w:r>
      <w:r>
        <w:rPr>
          <w:rFonts w:hint="eastAsia" w:ascii="方正小标宋简体" w:hAnsi="方正小标宋简体" w:eastAsia="方正小标宋简体" w:cs="方正小标宋简体"/>
          <w:color w:val="auto"/>
          <w:sz w:val="72"/>
          <w:szCs w:val="72"/>
          <w:lang w:eastAsia="zh-CN"/>
        </w:rPr>
        <w:t>（本级）</w:t>
      </w:r>
      <w:r>
        <w:rPr>
          <w:rFonts w:hint="eastAsia" w:ascii="方正小标宋简体" w:hAnsi="方正小标宋简体" w:eastAsia="方正小标宋简体" w:cs="方正小标宋简体"/>
          <w:sz w:val="72"/>
          <w:szCs w:val="72"/>
        </w:rPr>
        <w:t>决算</w:t>
      </w:r>
      <w:bookmarkEnd w:id="6"/>
      <w:bookmarkEnd w:id="7"/>
      <w:bookmarkEnd w:id="8"/>
      <w:bookmarkEnd w:id="9"/>
      <w:bookmarkEnd w:id="10"/>
      <w:bookmarkEnd w:id="11"/>
      <w:r>
        <w:rPr>
          <w:rFonts w:hint="eastAsia" w:ascii="方正小标宋简体" w:hAnsi="方正小标宋简体" w:eastAsia="方正小标宋简体" w:cs="方正小标宋简体"/>
          <w:sz w:val="72"/>
          <w:szCs w:val="72"/>
          <w:lang w:eastAsia="zh-CN"/>
        </w:rPr>
        <w:t>公开</w:t>
      </w:r>
    </w:p>
    <w:p>
      <w:pPr>
        <w:pStyle w:val="10"/>
        <w:rPr>
          <w:rFonts w:hint="eastAsia" w:ascii="仿宋_GB2312" w:hAnsi="仿宋_GB2312" w:eastAsia="仿宋_GB2312" w:cs="仿宋_GB2312"/>
          <w:sz w:val="32"/>
          <w:szCs w:val="32"/>
        </w:rPr>
      </w:pPr>
    </w:p>
    <w:p>
      <w:pPr>
        <w:pStyle w:val="10"/>
        <w:rPr>
          <w:rFonts w:hint="eastAsia" w:ascii="仿宋_GB2312" w:hAnsi="仿宋_GB2312" w:eastAsia="仿宋_GB2312" w:cs="仿宋_GB2312"/>
          <w:sz w:val="32"/>
          <w:szCs w:val="32"/>
        </w:rPr>
      </w:pPr>
    </w:p>
    <w:p>
      <w:pPr>
        <w:pStyle w:val="10"/>
        <w:rPr>
          <w:rFonts w:hint="eastAsia" w:ascii="仿宋_GB2312" w:hAnsi="仿宋_GB2312" w:eastAsia="仿宋_GB2312" w:cs="仿宋_GB2312"/>
          <w:sz w:val="32"/>
          <w:szCs w:val="32"/>
        </w:rPr>
      </w:pPr>
    </w:p>
    <w:p>
      <w:pPr>
        <w:pStyle w:val="10"/>
        <w:rPr>
          <w:rFonts w:hint="eastAsia" w:ascii="仿宋_GB2312" w:hAnsi="仿宋_GB2312" w:eastAsia="仿宋_GB2312" w:cs="仿宋_GB2312"/>
          <w:sz w:val="32"/>
          <w:szCs w:val="32"/>
        </w:rPr>
      </w:pPr>
    </w:p>
    <w:p>
      <w:pPr>
        <w:pStyle w:val="10"/>
        <w:rPr>
          <w:rFonts w:hint="eastAsia" w:ascii="仿宋_GB2312" w:hAnsi="仿宋_GB2312" w:eastAsia="仿宋_GB2312" w:cs="仿宋_GB2312"/>
          <w:sz w:val="32"/>
          <w:szCs w:val="32"/>
        </w:rPr>
      </w:pPr>
    </w:p>
    <w:p>
      <w:pPr>
        <w:pStyle w:val="10"/>
        <w:rPr>
          <w:rFonts w:hint="eastAsia" w:ascii="仿宋_GB2312" w:hAnsi="仿宋_GB2312" w:eastAsia="仿宋_GB2312" w:cs="仿宋_GB2312"/>
          <w:sz w:val="32"/>
          <w:szCs w:val="32"/>
        </w:rPr>
      </w:pPr>
    </w:p>
    <w:p>
      <w:pPr>
        <w:pStyle w:val="10"/>
        <w:rPr>
          <w:rFonts w:hint="eastAsia" w:ascii="仿宋_GB2312" w:hAnsi="仿宋_GB2312" w:eastAsia="仿宋_GB2312" w:cs="仿宋_GB2312"/>
          <w:sz w:val="32"/>
          <w:szCs w:val="32"/>
        </w:rPr>
      </w:pPr>
    </w:p>
    <w:p>
      <w:pPr>
        <w:pStyle w:val="10"/>
        <w:rPr>
          <w:rFonts w:hint="eastAsia" w:ascii="仿宋_GB2312" w:hAnsi="仿宋_GB2312" w:eastAsia="仿宋_GB2312" w:cs="仿宋_GB2312"/>
          <w:sz w:val="32"/>
          <w:szCs w:val="32"/>
        </w:rPr>
      </w:pPr>
    </w:p>
    <w:p>
      <w:pPr>
        <w:pStyle w:val="10"/>
        <w:rPr>
          <w:rFonts w:hint="eastAsia" w:ascii="仿宋_GB2312" w:hAnsi="仿宋_GB2312" w:eastAsia="仿宋_GB2312" w:cs="仿宋_GB2312"/>
          <w:sz w:val="32"/>
          <w:szCs w:val="32"/>
        </w:rPr>
      </w:pPr>
    </w:p>
    <w:p>
      <w:pPr>
        <w:pStyle w:val="10"/>
        <w:rPr>
          <w:rFonts w:hint="eastAsia" w:ascii="仿宋_GB2312" w:hAnsi="仿宋_GB2312" w:eastAsia="仿宋_GB2312" w:cs="仿宋_GB2312"/>
          <w:sz w:val="32"/>
          <w:szCs w:val="32"/>
        </w:rPr>
      </w:pPr>
    </w:p>
    <w:p>
      <w:pPr>
        <w:pStyle w:val="10"/>
        <w:rPr>
          <w:rFonts w:hint="eastAsia" w:ascii="仿宋_GB2312" w:hAnsi="仿宋_GB2312" w:eastAsia="仿宋_GB2312" w:cs="仿宋_GB2312"/>
          <w:sz w:val="32"/>
          <w:szCs w:val="32"/>
        </w:rPr>
      </w:pPr>
    </w:p>
    <w:p>
      <w:pPr>
        <w:pStyle w:val="10"/>
        <w:jc w:val="center"/>
        <w:rPr>
          <w:rFonts w:hint="eastAsia" w:ascii="黑体" w:hAnsi="黑体" w:eastAsia="黑体" w:cs="黑体"/>
          <w:sz w:val="44"/>
          <w:szCs w:val="44"/>
        </w:rPr>
      </w:pPr>
      <w:r>
        <w:rPr>
          <w:rFonts w:hint="eastAsia" w:ascii="黑体" w:hAnsi="黑体" w:eastAsia="黑体" w:cs="黑体"/>
          <w:sz w:val="44"/>
          <w:szCs w:val="44"/>
        </w:rPr>
        <w:t>公开时间：2022年10月10日</w:t>
      </w:r>
    </w:p>
    <w:p>
      <w:pPr>
        <w:keepNext w:val="0"/>
        <w:keepLines w:val="0"/>
        <w:pageBreakBefore w:val="0"/>
        <w:widowControl/>
        <w:kinsoku/>
        <w:wordWrap/>
        <w:overflowPunct/>
        <w:topLinePunct w:val="0"/>
        <w:autoSpaceDE/>
        <w:autoSpaceDN/>
        <w:bidi w:val="0"/>
        <w:spacing w:line="576" w:lineRule="exact"/>
        <w:jc w:val="center"/>
        <w:textAlignment w:val="auto"/>
        <w:rPr>
          <w:rFonts w:ascii="黑体" w:hAnsi="黑体" w:eastAsia="黑体"/>
          <w:sz w:val="48"/>
          <w:szCs w:val="48"/>
        </w:rPr>
      </w:pPr>
      <w:r>
        <w:rPr>
          <w:rFonts w:ascii="方正小标宋简体" w:hAnsi="宋体" w:eastAsia="方正小标宋简体"/>
          <w:sz w:val="36"/>
          <w:szCs w:val="36"/>
        </w:rPr>
        <w:br w:type="page"/>
      </w: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pPr>
        <w:pStyle w:val="10"/>
        <w:keepNext w:val="0"/>
        <w:keepLines w:val="0"/>
        <w:pageBreakBefore w:val="0"/>
        <w:kinsoku/>
        <w:wordWrap/>
        <w:overflowPunct/>
        <w:topLinePunct w:val="0"/>
        <w:autoSpaceDE/>
        <w:autoSpaceDN/>
        <w:bidi w:val="0"/>
        <w:adjustRightInd w:val="0"/>
        <w:snapToGrid w:val="0"/>
        <w:spacing w:before="0" w:line="576" w:lineRule="exact"/>
        <w:jc w:val="left"/>
        <w:textAlignment w:val="auto"/>
        <w:rPr>
          <w:rFonts w:hint="eastAsia" w:ascii="仿宋_GB2312" w:hAnsi="仿宋_GB2312" w:eastAsia="仿宋_GB2312" w:cs="仿宋_GB2312"/>
          <w:sz w:val="32"/>
          <w:szCs w:val="32"/>
        </w:rPr>
      </w:pPr>
    </w:p>
    <w:p>
      <w:pPr>
        <w:pStyle w:val="10"/>
        <w:keepNext w:val="0"/>
        <w:keepLines w:val="0"/>
        <w:pageBreakBefore w:val="0"/>
        <w:kinsoku/>
        <w:wordWrap/>
        <w:overflowPunct/>
        <w:topLinePunct w:val="0"/>
        <w:autoSpaceDE/>
        <w:autoSpaceDN/>
        <w:bidi w:val="0"/>
        <w:adjustRightInd w:val="0"/>
        <w:snapToGrid w:val="0"/>
        <w:spacing w:before="0" w:line="576"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rPr>
        <w:t xml:space="preserve">第一部分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单位概况</w:t>
      </w:r>
      <w:r>
        <w:rPr>
          <w:rFonts w:hint="eastAsia" w:ascii="黑体" w:hAnsi="黑体" w:eastAsia="黑体" w:cs="黑体"/>
          <w:sz w:val="32"/>
          <w:szCs w:val="32"/>
          <w:lang w:val="en-US" w:eastAsia="zh-CN"/>
        </w:rPr>
        <w:t xml:space="preserve"> </w:t>
      </w:r>
      <w:r>
        <w:rPr>
          <w:rFonts w:hint="default" w:ascii="黑体" w:hAnsi="黑体" w:eastAsia="黑体" w:cs="黑体"/>
          <w:sz w:val="32"/>
          <w:szCs w:val="32"/>
          <w:lang w:val="en" w:eastAsia="zh-CN"/>
        </w:rPr>
        <w:t>................................1</w:t>
      </w:r>
      <w:r>
        <w:rPr>
          <w:rFonts w:hint="eastAsia" w:ascii="黑体" w:hAnsi="黑体" w:eastAsia="黑体" w:cs="黑体"/>
          <w:sz w:val="32"/>
          <w:szCs w:val="32"/>
          <w:lang w:val="en-US" w:eastAsia="zh-CN"/>
        </w:rPr>
        <w:t xml:space="preserve">                    </w:t>
      </w:r>
    </w:p>
    <w:p>
      <w:pPr>
        <w:pStyle w:val="10"/>
        <w:keepNext w:val="0"/>
        <w:keepLines w:val="0"/>
        <w:pageBreakBefore w:val="0"/>
        <w:kinsoku/>
        <w:wordWrap/>
        <w:overflowPunct/>
        <w:topLinePunct w:val="0"/>
        <w:autoSpaceDE/>
        <w:autoSpaceDN/>
        <w:bidi w:val="0"/>
        <w:adjustRightInd w:val="0"/>
        <w:snapToGrid w:val="0"/>
        <w:spacing w:before="0" w:line="576"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一、职能简介</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lang w:val="en-US" w:eastAsia="zh-CN"/>
        </w:rPr>
        <w:t xml:space="preserve">4                       </w:t>
      </w:r>
    </w:p>
    <w:p>
      <w:pPr>
        <w:pStyle w:val="11"/>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default" w:ascii="仿宋_GB2312" w:hAnsi="仿宋_GB2312" w:eastAsia="仿宋_GB2312" w:cs="仿宋_GB2312"/>
          <w:sz w:val="32"/>
          <w:szCs w:val="32"/>
          <w:lang w:val="en" w:eastAsia="zh-CN"/>
        </w:rPr>
      </w:pPr>
      <w:r>
        <w:rPr>
          <w:rFonts w:hint="eastAsia" w:ascii="仿宋_GB2312" w:hAnsi="仿宋_GB2312" w:eastAsia="仿宋_GB2312" w:cs="仿宋_GB2312"/>
          <w:sz w:val="32"/>
          <w:szCs w:val="32"/>
        </w:rPr>
        <w:t>二、2021年重点工作完成情况</w:t>
      </w:r>
      <w:r>
        <w:rPr>
          <w:rFonts w:hint="default" w:ascii="仿宋_GB2312" w:hAnsi="仿宋_GB2312" w:eastAsia="仿宋_GB2312" w:cs="仿宋_GB2312"/>
          <w:sz w:val="32"/>
          <w:szCs w:val="32"/>
          <w:lang w:val="en"/>
        </w:rPr>
        <w:t>.....................6</w:t>
      </w:r>
    </w:p>
    <w:p>
      <w:pPr>
        <w:pageBreakBefore w:val="0"/>
        <w:widowControl w:val="0"/>
        <w:kinsoku/>
        <w:wordWrap/>
        <w:overflowPunct/>
        <w:topLinePunct w:val="0"/>
        <w:autoSpaceDE/>
        <w:autoSpaceDN/>
        <w:bidi w:val="0"/>
        <w:adjustRightInd/>
        <w:snapToGrid/>
        <w:spacing w:line="576" w:lineRule="exact"/>
        <w:ind w:right="0" w:firstLine="640" w:firstLineChars="200"/>
        <w:jc w:val="left"/>
        <w:textAlignment w:val="auto"/>
        <w:rPr>
          <w:rFonts w:hint="default" w:ascii="仿宋_GB2312" w:hAnsi="仿宋_GB2312" w:eastAsia="仿宋_GB2312" w:cs="仿宋_GB2312"/>
          <w:b w:val="0"/>
          <w:bCs w:val="0"/>
          <w:sz w:val="32"/>
          <w:szCs w:val="32"/>
          <w:lang w:val="en" w:eastAsia="zh-CN"/>
        </w:rPr>
      </w:pPr>
      <w:r>
        <w:rPr>
          <w:rFonts w:hint="eastAsia" w:ascii="仿宋_GB2312" w:hAnsi="仿宋_GB2312" w:eastAsia="仿宋_GB2312" w:cs="仿宋_GB2312"/>
          <w:b w:val="0"/>
          <w:bCs w:val="0"/>
          <w:sz w:val="32"/>
          <w:szCs w:val="32"/>
          <w:lang w:eastAsia="zh-CN"/>
        </w:rPr>
        <w:t>三</w:t>
      </w:r>
      <w:r>
        <w:rPr>
          <w:rFonts w:hint="eastAsia" w:ascii="仿宋_GB2312" w:hAnsi="仿宋_GB2312" w:eastAsia="仿宋_GB2312" w:cs="仿宋_GB2312"/>
          <w:b w:val="0"/>
          <w:bCs w:val="0"/>
          <w:sz w:val="32"/>
          <w:szCs w:val="32"/>
        </w:rPr>
        <w:t>、工作经验</w:t>
      </w:r>
      <w:r>
        <w:rPr>
          <w:rFonts w:hint="default" w:ascii="仿宋_GB2312" w:hAnsi="仿宋_GB2312" w:eastAsia="仿宋_GB2312" w:cs="仿宋_GB2312"/>
          <w:b w:val="0"/>
          <w:bCs w:val="0"/>
          <w:sz w:val="32"/>
          <w:szCs w:val="32"/>
          <w:lang w:val="en"/>
        </w:rPr>
        <w:t>....................................9</w:t>
      </w:r>
    </w:p>
    <w:p>
      <w:pPr>
        <w:pStyle w:val="4"/>
        <w:pageBreakBefore w:val="0"/>
        <w:widowControl w:val="0"/>
        <w:numPr>
          <w:ilvl w:val="0"/>
          <w:numId w:val="0"/>
        </w:numPr>
        <w:kinsoku/>
        <w:wordWrap/>
        <w:overflowPunct/>
        <w:topLinePunct w:val="0"/>
        <w:autoSpaceDE/>
        <w:autoSpaceDN/>
        <w:bidi w:val="0"/>
        <w:adjustRightInd/>
        <w:snapToGrid/>
        <w:spacing w:before="0" w:after="0" w:line="576" w:lineRule="exact"/>
        <w:ind w:right="0" w:rightChars="0" w:firstLine="640"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b w:val="0"/>
          <w:bCs/>
          <w:sz w:val="32"/>
          <w:szCs w:val="32"/>
          <w:lang w:eastAsia="zh-CN"/>
        </w:rPr>
        <w:t>四、</w:t>
      </w:r>
      <w:r>
        <w:rPr>
          <w:rFonts w:hint="eastAsia" w:ascii="仿宋_GB2312" w:hAnsi="仿宋_GB2312" w:eastAsia="仿宋_GB2312" w:cs="仿宋_GB2312"/>
          <w:b w:val="0"/>
          <w:bCs/>
          <w:sz w:val="32"/>
          <w:szCs w:val="32"/>
        </w:rPr>
        <w:t>机</w:t>
      </w:r>
      <w:r>
        <w:rPr>
          <w:rStyle w:val="38"/>
          <w:rFonts w:hint="eastAsia" w:ascii="仿宋_GB2312" w:hAnsi="仿宋_GB2312" w:eastAsia="仿宋_GB2312" w:cs="仿宋_GB2312"/>
          <w:b w:val="0"/>
          <w:bCs/>
          <w:sz w:val="32"/>
          <w:szCs w:val="32"/>
        </w:rPr>
        <w:t>构设置</w:t>
      </w:r>
      <w:r>
        <w:rPr>
          <w:rStyle w:val="38"/>
          <w:rFonts w:hint="default" w:ascii="仿宋_GB2312" w:hAnsi="仿宋_GB2312" w:eastAsia="仿宋_GB2312" w:cs="仿宋_GB2312"/>
          <w:b w:val="0"/>
          <w:bCs/>
          <w:sz w:val="32"/>
          <w:szCs w:val="32"/>
          <w:lang w:val="en"/>
        </w:rPr>
        <w:t>...................................</w:t>
      </w:r>
      <w:r>
        <w:rPr>
          <w:rStyle w:val="38"/>
          <w:rFonts w:hint="eastAsia" w:ascii="仿宋_GB2312" w:hAnsi="仿宋_GB2312" w:eastAsia="仿宋_GB2312" w:cs="仿宋_GB2312"/>
          <w:b w:val="0"/>
          <w:bCs/>
          <w:sz w:val="32"/>
          <w:szCs w:val="32"/>
          <w:lang w:val="en-US" w:eastAsia="zh-CN"/>
        </w:rPr>
        <w:t>10</w:t>
      </w:r>
    </w:p>
    <w:p>
      <w:pPr>
        <w:pStyle w:val="10"/>
        <w:keepNext w:val="0"/>
        <w:keepLines w:val="0"/>
        <w:pageBreakBefore w:val="0"/>
        <w:kinsoku/>
        <w:wordWrap/>
        <w:overflowPunct/>
        <w:topLinePunct w:val="0"/>
        <w:autoSpaceDE/>
        <w:autoSpaceDN/>
        <w:bidi w:val="0"/>
        <w:adjustRightInd w:val="0"/>
        <w:snapToGrid w:val="0"/>
        <w:spacing w:before="0" w:line="576"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rPr>
        <w:t>第二部分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2021年度单位决算情况说明</w:t>
      </w:r>
      <w:r>
        <w:rPr>
          <w:rFonts w:hint="default" w:ascii="黑体" w:hAnsi="黑体" w:eastAsia="黑体" w:cs="黑体"/>
          <w:sz w:val="32"/>
          <w:szCs w:val="32"/>
          <w:lang w:val="en"/>
        </w:rPr>
        <w:t>.................</w:t>
      </w:r>
      <w:r>
        <w:rPr>
          <w:rFonts w:hint="eastAsia" w:ascii="黑体" w:hAnsi="黑体" w:eastAsia="黑体" w:cs="黑体"/>
          <w:sz w:val="32"/>
          <w:szCs w:val="32"/>
          <w:lang w:val="en-US" w:eastAsia="zh-CN"/>
        </w:rPr>
        <w:t>11</w:t>
      </w:r>
    </w:p>
    <w:p>
      <w:pPr>
        <w:pStyle w:val="11"/>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一、收入支出决算总体情况说明</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lang w:val="en-US" w:eastAsia="zh-CN"/>
        </w:rPr>
        <w:t>11</w:t>
      </w:r>
    </w:p>
    <w:p>
      <w:pPr>
        <w:pStyle w:val="11"/>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二、收入决算情况说明</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11</w:t>
      </w:r>
    </w:p>
    <w:p>
      <w:pPr>
        <w:pStyle w:val="11"/>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三、支出决算情况说明</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lang w:val="en-US" w:eastAsia="zh-CN"/>
        </w:rPr>
        <w:t>12</w:t>
      </w:r>
    </w:p>
    <w:p>
      <w:pPr>
        <w:pStyle w:val="11"/>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四、财政拨款收入支出决算总体情况说明</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lang w:val="en-US" w:eastAsia="zh-CN"/>
        </w:rPr>
        <w:t>13</w:t>
      </w:r>
    </w:p>
    <w:p>
      <w:pPr>
        <w:pStyle w:val="11"/>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五、一般公共预算财政拨款支出决算情况说明</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lang w:val="en-US" w:eastAsia="zh-CN"/>
        </w:rPr>
        <w:t>13</w:t>
      </w:r>
    </w:p>
    <w:p>
      <w:pPr>
        <w:pStyle w:val="11"/>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六、一般公共预算财政拨款基本支出决算情况说明</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18</w:t>
      </w:r>
    </w:p>
    <w:p>
      <w:pPr>
        <w:pStyle w:val="11"/>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七、“三公”经费财政拨款支出决算情况说明</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lang w:val="en-US" w:eastAsia="zh-CN"/>
        </w:rPr>
        <w:t>19</w:t>
      </w:r>
    </w:p>
    <w:p>
      <w:pPr>
        <w:pStyle w:val="11"/>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八、政府性基金预算支出决算情况说明</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lang w:val="en-US" w:eastAsia="zh-CN"/>
        </w:rPr>
        <w:t>21</w:t>
      </w:r>
    </w:p>
    <w:p>
      <w:pPr>
        <w:pStyle w:val="11"/>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九、国有资本经营预算支出决算情况说明</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lang w:val="en-US" w:eastAsia="zh-CN"/>
        </w:rPr>
        <w:t>21</w:t>
      </w:r>
    </w:p>
    <w:p>
      <w:pPr>
        <w:pStyle w:val="11"/>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十、预算绩效管理情况</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lang w:val="en-US" w:eastAsia="zh-CN"/>
        </w:rPr>
        <w:t>21</w:t>
      </w:r>
    </w:p>
    <w:p>
      <w:pPr>
        <w:pStyle w:val="11"/>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十一、其他重要事项的情况说明</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lang w:val="en-US" w:eastAsia="zh-CN"/>
        </w:rPr>
        <w:t>21</w:t>
      </w:r>
    </w:p>
    <w:p>
      <w:pPr>
        <w:pStyle w:val="10"/>
        <w:keepNext w:val="0"/>
        <w:keepLines w:val="0"/>
        <w:pageBreakBefore w:val="0"/>
        <w:kinsoku/>
        <w:wordWrap/>
        <w:overflowPunct/>
        <w:topLinePunct w:val="0"/>
        <w:autoSpaceDE/>
        <w:autoSpaceDN/>
        <w:bidi w:val="0"/>
        <w:adjustRightInd w:val="0"/>
        <w:snapToGrid w:val="0"/>
        <w:spacing w:before="0" w:line="576"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rPr>
        <w:t xml:space="preserve">第三部分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名词解释</w:t>
      </w:r>
      <w:r>
        <w:rPr>
          <w:rFonts w:hint="eastAsia" w:ascii="黑体" w:hAnsi="黑体" w:eastAsia="黑体" w:cs="黑体"/>
          <w:sz w:val="32"/>
          <w:szCs w:val="32"/>
          <w:lang w:val="en-US" w:eastAsia="zh-CN"/>
        </w:rPr>
        <w:t xml:space="preserve"> </w:t>
      </w:r>
      <w:r>
        <w:rPr>
          <w:rFonts w:hint="default" w:ascii="黑体" w:hAnsi="黑体" w:eastAsia="黑体" w:cs="黑体"/>
          <w:sz w:val="32"/>
          <w:szCs w:val="32"/>
          <w:lang w:val="en" w:eastAsia="zh-CN"/>
        </w:rPr>
        <w:t>.................................</w:t>
      </w:r>
      <w:r>
        <w:rPr>
          <w:rFonts w:hint="eastAsia" w:ascii="黑体" w:hAnsi="黑体" w:eastAsia="黑体" w:cs="黑体"/>
          <w:sz w:val="32"/>
          <w:szCs w:val="32"/>
          <w:lang w:val="en-US" w:eastAsia="zh-CN"/>
        </w:rPr>
        <w:t>22</w:t>
      </w:r>
    </w:p>
    <w:p>
      <w:pPr>
        <w:pStyle w:val="10"/>
        <w:keepNext w:val="0"/>
        <w:keepLines w:val="0"/>
        <w:pageBreakBefore w:val="0"/>
        <w:kinsoku/>
        <w:wordWrap/>
        <w:overflowPunct/>
        <w:topLinePunct w:val="0"/>
        <w:autoSpaceDE/>
        <w:autoSpaceDN/>
        <w:bidi w:val="0"/>
        <w:adjustRightInd w:val="0"/>
        <w:snapToGrid w:val="0"/>
        <w:spacing w:before="0" w:line="576"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rPr>
        <w:t>第四部分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附件</w:t>
      </w:r>
      <w:r>
        <w:rPr>
          <w:rFonts w:hint="default" w:ascii="黑体" w:hAnsi="黑体" w:eastAsia="黑体" w:cs="黑体"/>
          <w:sz w:val="32"/>
          <w:szCs w:val="32"/>
          <w:lang w:val="en"/>
        </w:rPr>
        <w:t>.....................................</w:t>
      </w:r>
      <w:r>
        <w:rPr>
          <w:rFonts w:hint="eastAsia" w:ascii="黑体" w:hAnsi="黑体" w:eastAsia="黑体" w:cs="黑体"/>
          <w:sz w:val="32"/>
          <w:szCs w:val="32"/>
          <w:lang w:val="en-US" w:eastAsia="zh-CN"/>
        </w:rPr>
        <w:t xml:space="preserve"> 26</w:t>
      </w:r>
    </w:p>
    <w:p>
      <w:pPr>
        <w:pStyle w:val="10"/>
        <w:keepNext w:val="0"/>
        <w:keepLines w:val="0"/>
        <w:pageBreakBefore w:val="0"/>
        <w:kinsoku/>
        <w:wordWrap/>
        <w:overflowPunct/>
        <w:topLinePunct w:val="0"/>
        <w:autoSpaceDE/>
        <w:autoSpaceDN/>
        <w:bidi w:val="0"/>
        <w:adjustRightInd w:val="0"/>
        <w:snapToGrid w:val="0"/>
        <w:spacing w:before="0" w:line="576"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rPr>
        <w:t>第五部分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附表</w:t>
      </w:r>
      <w:r>
        <w:rPr>
          <w:rFonts w:hint="default" w:ascii="黑体" w:hAnsi="黑体" w:eastAsia="黑体" w:cs="黑体"/>
          <w:sz w:val="32"/>
          <w:szCs w:val="32"/>
          <w:lang w:val="en"/>
        </w:rPr>
        <w:t>......................................</w:t>
      </w:r>
      <w:r>
        <w:rPr>
          <w:rFonts w:hint="eastAsia" w:ascii="黑体" w:hAnsi="黑体" w:eastAsia="黑体" w:cs="黑体"/>
          <w:sz w:val="32"/>
          <w:szCs w:val="32"/>
          <w:lang w:val="en-US" w:eastAsia="zh-CN"/>
        </w:rPr>
        <w:t>80</w:t>
      </w:r>
    </w:p>
    <w:p>
      <w:pPr>
        <w:pStyle w:val="11"/>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pPr>
        <w:pStyle w:val="11"/>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pPr>
        <w:pStyle w:val="11"/>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pPr>
        <w:pStyle w:val="11"/>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pPr>
        <w:pStyle w:val="11"/>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p>
    <w:p>
      <w:pPr>
        <w:pStyle w:val="11"/>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p>
    <w:p>
      <w:pPr>
        <w:pStyle w:val="11"/>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p>
    <w:p>
      <w:pPr>
        <w:pStyle w:val="11"/>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八、一般公共预算财政拨款基本支出决算表</w:t>
      </w:r>
    </w:p>
    <w:p>
      <w:pPr>
        <w:pStyle w:val="11"/>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p>
    <w:p>
      <w:pPr>
        <w:pStyle w:val="11"/>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十、一般公共预算财政拨款“三公”经费支出决算表</w:t>
      </w:r>
    </w:p>
    <w:p>
      <w:pPr>
        <w:pStyle w:val="11"/>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十一、政府性基金预算财政拨款收入支出决算表</w:t>
      </w:r>
    </w:p>
    <w:p>
      <w:pPr>
        <w:pStyle w:val="11"/>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十二、政府性基金预算财政拨款“三公”经费支出决算表</w:t>
      </w:r>
    </w:p>
    <w:p>
      <w:pPr>
        <w:pStyle w:val="11"/>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十三、国有资本经营预算财政拨款收入支出决算表</w:t>
      </w:r>
    </w:p>
    <w:p>
      <w:pPr>
        <w:pStyle w:val="11"/>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p>
      <w:pPr>
        <w:keepNext w:val="0"/>
        <w:keepLines w:val="0"/>
        <w:pageBreakBefore w:val="0"/>
        <w:widowControl/>
        <w:kinsoku/>
        <w:wordWrap/>
        <w:overflowPunct/>
        <w:topLinePunct w:val="0"/>
        <w:autoSpaceDE/>
        <w:autoSpaceDN/>
        <w:bidi w:val="0"/>
        <w:adjustRightInd w:val="0"/>
        <w:snapToGrid w:val="0"/>
        <w:spacing w:line="576" w:lineRule="exact"/>
        <w:ind w:firstLine="1760" w:firstLineChars="5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(注：请单位根据实际注明页码)</w:t>
      </w:r>
    </w:p>
    <w:p>
      <w:pPr>
        <w:widowControl/>
        <w:spacing w:line="440" w:lineRule="exact"/>
        <w:jc w:val="left"/>
        <w:rPr>
          <w:rFonts w:hint="eastAsia" w:ascii="仿宋_GB2312" w:hAnsi="仿宋_GB2312" w:eastAsia="仿宋_GB2312" w:cs="仿宋_GB2312"/>
          <w:bCs/>
          <w:kern w:val="44"/>
          <w:sz w:val="32"/>
          <w:szCs w:val="32"/>
        </w:rPr>
      </w:pPr>
      <w:bookmarkStart w:id="12" w:name="_Toc15396599"/>
      <w:bookmarkStart w:id="13" w:name="_Toc15377196"/>
      <w:r>
        <w:rPr>
          <w:rFonts w:hint="eastAsia" w:ascii="仿宋_GB2312" w:hAnsi="仿宋_GB2312" w:eastAsia="仿宋_GB2312" w:cs="仿宋_GB2312"/>
          <w:b/>
          <w:sz w:val="32"/>
          <w:szCs w:val="32"/>
        </w:rPr>
        <w:br w:type="page"/>
      </w:r>
    </w:p>
    <w:p>
      <w:pPr>
        <w:pStyle w:val="3"/>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第一部分 单位</w:t>
      </w:r>
      <w:r>
        <w:rPr>
          <w:rStyle w:val="25"/>
          <w:rFonts w:hint="eastAsia" w:ascii="方正小标宋简体" w:hAnsi="方正小标宋简体" w:eastAsia="方正小标宋简体" w:cs="方正小标宋简体"/>
          <w:b w:val="0"/>
          <w:bCs/>
          <w:sz w:val="44"/>
          <w:szCs w:val="44"/>
        </w:rPr>
        <w:t>概况</w:t>
      </w:r>
      <w:bookmarkEnd w:id="12"/>
      <w:bookmarkEnd w:id="13"/>
    </w:p>
    <w:p>
      <w:pPr>
        <w:pStyle w:val="4"/>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textAlignment w:val="auto"/>
        <w:rPr>
          <w:rStyle w:val="26"/>
          <w:rFonts w:hint="eastAsia" w:ascii="黑体" w:hAnsi="黑体" w:eastAsia="黑体" w:cs="黑体"/>
          <w:b w:val="0"/>
          <w:bCs w:val="0"/>
          <w:sz w:val="32"/>
          <w:szCs w:val="32"/>
          <w:lang w:eastAsia="zh-CN"/>
        </w:rPr>
      </w:pPr>
      <w:bookmarkStart w:id="14" w:name="_Toc15377197"/>
      <w:bookmarkStart w:id="15" w:name="_Toc15396600"/>
    </w:p>
    <w:p>
      <w:pPr>
        <w:pStyle w:val="4"/>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textAlignment w:val="auto"/>
        <w:rPr>
          <w:rFonts w:hint="eastAsia" w:ascii="黑体" w:hAnsi="黑体" w:eastAsia="黑体" w:cs="黑体"/>
          <w:sz w:val="32"/>
          <w:szCs w:val="32"/>
        </w:rPr>
      </w:pPr>
      <w:r>
        <w:rPr>
          <w:rStyle w:val="26"/>
          <w:rFonts w:hint="eastAsia" w:ascii="黑体" w:hAnsi="黑体" w:eastAsia="黑体" w:cs="黑体"/>
          <w:b w:val="0"/>
          <w:bCs w:val="0"/>
          <w:sz w:val="32"/>
          <w:szCs w:val="32"/>
          <w:lang w:eastAsia="zh-CN"/>
        </w:rPr>
        <w:t>一、</w:t>
      </w:r>
      <w:r>
        <w:rPr>
          <w:rStyle w:val="26"/>
          <w:rFonts w:hint="eastAsia" w:ascii="黑体" w:hAnsi="黑体" w:eastAsia="黑体" w:cs="黑体"/>
          <w:b w:val="0"/>
          <w:bCs w:val="0"/>
          <w:sz w:val="32"/>
          <w:szCs w:val="32"/>
        </w:rPr>
        <w:t>职能简介</w:t>
      </w:r>
    </w:p>
    <w:p>
      <w:pPr>
        <w:pStyle w:val="4"/>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广元市民政局（简称市民政局）是广元市人民政府的工作部门，为正县级。市民政局贯彻落实党中央关于民政工作的方针政策和省委、市委的决策部署，在履行职责过程中坚持和加强党对民政工作的集中统一领导。主要职责是：</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1.起草民政工作地方性法规、规章草案，拟订全市民政事业发展规划、政策、标准并组织实施。</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2.拟订社会团体、社会服务机构等社会组织登记和监督管理办法并组织实施，依法对社会组织进行登记管理和执法监督。</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3.牵头拟订全市社会救助规划、政策、标准，统筹推进社会救助体系建设，负责城乡居民最低生活保障、特困人员救助供养、临时救助、生活无着流浪乞讨人员救助工作。</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4.拟订城乡基层群众自治建设和社区治理政策，指导城乡社区治理体系、服务体系和治理能力建设，提出加强和改进城乡基层政权建设的建议，推动基层民主政治建设。</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拟订行政区划管理政策和行政区域界线、地名管理办法，负责全市乡镇以上行政区划设立、命名、撤销、变更和政府驻地迁移审核报批工作，组织并指导全市行政区域界线的勘定、管理工作，调处行政区域边界争议，负责地名管理工作。</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6.拟订婚姻管理政策并组织实施，指导县（区）婚姻登记工作，推进婚俗改革。</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7.拟订殡葬管理政策、服务规范并组织实施，负责殡葬管理工作，推进殡葬改革。</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8.拟订社会福利事业发展规划、政策、标准，拟订社会福利机构管理办法并指导实施，执行残疾人权益保护政策并监督实施。负责康复辅助器具行业管理，统筹推进残疾人福利制度建设和康复辅助器具产业发展。    </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统筹推进、督促指导、监督管理养老服务工作，拟订养老服务体系建设规划、政策、标准并组织实施，承担老年人福利和特殊困难老年人救助工作，协调推进农村留守老年人关爱服务工作，承担城乡老年社会组织管理工作。</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10.拟订儿童福利、孤弃儿童保障、儿童收养、儿童救助保护政策和标准并组织实施，健全农村留守儿童关爱服务体系和困境儿童保障制度，指导全市儿童收养登记管理工作。</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11.组织拟订促进慈善事业发展政策，指导社会捐助工作。负责福利彩票管理工作。</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12.拟订社会工作、志愿服务政策和标准，承担本行政区域内志愿服务行政管理工作，会同有关部门推进社会工作人才队伍建设和志愿者队伍建设。</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13.依法依规负责康复辅助器具行业和社会福利、养老服务、殡葬服务、救助管理机构安全生产监督管理工作。负责职责范围内的职业健康、生态环境保护、审批服务便民化等工作。</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14.负责指导、管理、监督无业务主管单位的全市性社会团体、社会服务机构的党建工作。</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15.完成市委、市政府交办的其他任务。</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二、2021年重点工作完成情况</w:t>
      </w:r>
      <w:bookmarkStart w:id="16" w:name="_Toc60821252"/>
      <w:bookmarkStart w:id="17" w:name="_Toc103843967"/>
      <w:bookmarkStart w:id="18" w:name="_Toc104025184"/>
      <w:bookmarkStart w:id="19" w:name="_Toc104021972"/>
      <w:bookmarkStart w:id="20" w:name="_Toc60821201"/>
      <w:bookmarkStart w:id="21" w:name="_Toc104023718"/>
      <w:bookmarkStart w:id="22" w:name="_Toc103762449"/>
    </w:p>
    <w:p>
      <w:pPr>
        <w:pStyle w:val="4"/>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（一）政府部门工作目标完成情况。</w:t>
      </w:r>
      <w:bookmarkEnd w:id="16"/>
      <w:bookmarkEnd w:id="17"/>
      <w:bookmarkEnd w:id="18"/>
      <w:bookmarkEnd w:id="19"/>
      <w:bookmarkEnd w:id="20"/>
      <w:bookmarkEnd w:id="21"/>
      <w:bookmarkEnd w:id="22"/>
      <w:r>
        <w:rPr>
          <w:rFonts w:hint="eastAsia" w:ascii="仿宋_GB2312" w:hAnsi="仿宋_GB2312" w:eastAsia="仿宋_GB2312" w:cs="仿宋_GB2312"/>
          <w:b w:val="0"/>
          <w:bCs w:val="0"/>
          <w:sz w:val="32"/>
          <w:szCs w:val="32"/>
        </w:rPr>
        <w:t>今年以来，全市民政系统坚定以习近平新时代中国特色社会主义思想为指导，深入践行“民政为民、民政爱民”工作理念，立足“三基”“三聚焦”，扎实抓好中央、省市各项重大决策部署贯彻落实，民政各项工作取得新成效，实现新发展。</w:t>
      </w:r>
    </w:p>
    <w:p>
      <w:pPr>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）全面从严治党持续加强。</w:t>
      </w:r>
      <w:r>
        <w:rPr>
          <w:rFonts w:hint="eastAsia" w:ascii="仿宋_GB2312" w:hAnsi="仿宋_GB2312" w:eastAsia="仿宋_GB2312" w:cs="仿宋_GB2312"/>
          <w:sz w:val="32"/>
          <w:szCs w:val="32"/>
        </w:rPr>
        <w:t>深入贯彻落实党各级关于全面从严治党总体部署，突出发挥局党组示范引领作用，高质量开展党史学习教育，扎实引导党员干部积极参与“我为身边群众办实事”、“社区‘双报到’”志愿服务、新冠疫情防控卡口值勤值守等活动。切实履行党风廉政建设主体责任和“第一责任人责任”和“一岗双责”，纵深推进民政系统作风纪律整顿，全面整改省委第五巡视组政府采购专项巡视反馈问题，全体党员干部进一步树牢“四个意识”，坚定“四个自信”，做到“两个维护”。</w:t>
      </w:r>
    </w:p>
    <w:p>
      <w:pPr>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）两项改革“后半篇”工作稳步推进。</w:t>
      </w:r>
      <w:r>
        <w:rPr>
          <w:rFonts w:hint="eastAsia" w:ascii="仿宋_GB2312" w:hAnsi="仿宋_GB2312" w:eastAsia="仿宋_GB2312" w:cs="仿宋_GB2312"/>
          <w:sz w:val="32"/>
          <w:szCs w:val="32"/>
        </w:rPr>
        <w:t>年度重点任务全力推进，省级重点任务提高应急保障能力、创新应急工作手段、优化乡镇(街道)政法委员配备、优化网格化服务管理体系、撤并建制村畅通工程等29项重点任务已提前完成，全市已有131个两改项目全面完工。切实抓好试点示范建设，乡村运输“金通工程”、农村电网改造升级项目和实施被撤并乡镇市政设施不过度建设专项行动等任务已全面完成。16个市级示范乡镇(街道)、32个市级示范村(社区)建设推进有序。</w:t>
      </w:r>
    </w:p>
    <w:p>
      <w:pPr>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）基本民生保障持续加强。</w:t>
      </w:r>
      <w:r>
        <w:rPr>
          <w:rFonts w:hint="eastAsia" w:ascii="仿宋_GB2312" w:hAnsi="仿宋_GB2312" w:eastAsia="仿宋_GB2312" w:cs="仿宋_GB2312"/>
          <w:sz w:val="32"/>
          <w:szCs w:val="32"/>
        </w:rPr>
        <w:t>持续做好低收入人口动态监测和常态化帮扶，统筹抓好分层分类社会救助工作，扎实开展巩固社会救助兜底脱贫成果“回头看”，积极搭建低收入人口监测信息平台、低收入人口信息库、社会救助综合服务平台，开展“解忧暖心传党恩”专项行动，不断织牢民生保障网。目前，全市共有城乡低保人数24.7万人，预计全年支出低保资金5.12亿元，支出分散供养特困人员救助金、临时救助金8000余万元。认真做好孤儿和事实无人抚养儿童保障工作，开展“百镇千村·助爱牵手”“孤儿医疗康复明天计划”“福彩圆梦孤儿助学工程”等项目，全市享受孤儿基本生活费保障330人，享受事实无人抚养儿童基本生活补贴的409人。市民政局被民政部评为全国农村留守儿童关爱保护和困境儿童保障工作先进集体。持续提升残疾人福利水平，累计发放补贴6500余万元，惠及困难残疾人7.2万余人。积极谋划民政领域东西部协作工作，包装助学、助医、助老</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慈善项目108个。</w:t>
      </w:r>
    </w:p>
    <w:p>
      <w:pPr>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五</w:t>
      </w:r>
      <w:r>
        <w:rPr>
          <w:rFonts w:hint="eastAsia" w:ascii="楷体_GB2312" w:hAnsi="楷体_GB2312" w:eastAsia="楷体_GB2312" w:cs="楷体_GB2312"/>
          <w:sz w:val="32"/>
          <w:szCs w:val="32"/>
        </w:rPr>
        <w:t>）基本社会服务不断完善。</w:t>
      </w:r>
      <w:r>
        <w:rPr>
          <w:rFonts w:hint="eastAsia" w:ascii="仿宋_GB2312" w:hAnsi="仿宋_GB2312" w:eastAsia="仿宋_GB2312" w:cs="仿宋_GB2312"/>
          <w:sz w:val="32"/>
          <w:szCs w:val="32"/>
        </w:rPr>
        <w:t>围绕县（区）有“院”、镇（街）有“中心”、村（组）有“点”，积极构建“一站多点”的居家社区机构“三位一体”服务网络，实施敬（养）老院改造提升7个，新建公办养老机构3个、养老服务综合体2个。开展居家适老化改造项目试点，适老化改造200余户。举办广元市首届养老护理职业技能大赛。扎实推进志愿服务工作，我市全国志愿服务信息系统实名认证志愿者总数达40万余人，注册志愿团体4453个，发布项目总数5420个。积极推进绿色惠民殡葬，突出行业领域乱点乱象整治，提高祭扫服务水平，引导群众绿色、文明、安全祭扫。截至11月底，减免基本殡葬服务资金158.95万元。依法规范做好婚姻登记工作。</w:t>
      </w:r>
    </w:p>
    <w:p>
      <w:pPr>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六</w:t>
      </w:r>
      <w:r>
        <w:rPr>
          <w:rFonts w:hint="eastAsia" w:ascii="楷体_GB2312" w:hAnsi="楷体_GB2312" w:eastAsia="楷体_GB2312" w:cs="楷体_GB2312"/>
          <w:sz w:val="32"/>
          <w:szCs w:val="32"/>
        </w:rPr>
        <w:t>）基层社会治理水平不断提升。</w:t>
      </w:r>
      <w:r>
        <w:rPr>
          <w:rFonts w:hint="eastAsia" w:ascii="仿宋_GB2312" w:hAnsi="仿宋_GB2312" w:eastAsia="仿宋_GB2312" w:cs="仿宋_GB2312"/>
          <w:sz w:val="32"/>
          <w:szCs w:val="32"/>
        </w:rPr>
        <w:t>全面完成1731个村（社区）“两委”换届，并开展换届后村（社区）干部全覆盖培训。建立健全村级民事代办、城乡社区工作事项准入、村规民约“红黑榜”等制度，完成全省（第一批）城乡社区治理试点任务，有序推进我市城乡社区治理试点工作。我市1个街道4个社区被确定为2020年全省（首批）基层治理示范单位。推进全市9个高海拔乡镇政府驻地冬季集中供暖试点，改造面积15000余平方米，惠及基层干部职工约450人。打击整治非法社会组织，组织开展“我为企业</w:t>
      </w:r>
      <w:ins w:id="1" w:author="优钵罗华86nlss" w:date="2023-06-20T16:49:22Z">
        <w:r>
          <w:rPr>
            <w:rFonts w:hint="eastAsia" w:ascii="仿宋_GB2312" w:hAnsi="仿宋_GB2312" w:eastAsia="仿宋_GB2312" w:cs="仿宋_GB2312"/>
            <w:sz w:val="32"/>
            <w:szCs w:val="32"/>
            <w:lang w:eastAsia="zh-CN"/>
          </w:rPr>
          <w:t>减</w:t>
        </w:r>
      </w:ins>
      <w:del w:id="2" w:author="优钵罗华86nlss" w:date="2023-06-20T16:49:22Z">
        <w:r>
          <w:rPr>
            <w:rFonts w:hint="eastAsia" w:ascii="仿宋_GB2312" w:hAnsi="仿宋_GB2312" w:eastAsia="仿宋_GB2312" w:cs="仿宋_GB2312"/>
            <w:sz w:val="32"/>
            <w:szCs w:val="32"/>
          </w:rPr>
          <w:delText>减</w:delText>
        </w:r>
      </w:del>
      <w:r>
        <w:rPr>
          <w:rFonts w:hint="eastAsia" w:ascii="仿宋_GB2312" w:hAnsi="仿宋_GB2312" w:eastAsia="仿宋_GB2312" w:cs="仿宋_GB2312"/>
          <w:sz w:val="32"/>
          <w:szCs w:val="32"/>
        </w:rPr>
        <w:t>负担”专项行动和行业协会商会收费专项清理整治。共查处涉企违规收费的行业协会商会15家，行政约谈12家，行政警告12家。健全完善社区社会组织管理制度，基本建成广元市社会组织孵化园。积极推进“双减”工作。全面完成社会组织法人库本地化建设。做好全市乡镇行政区划调整后勘界工作，积极推进剑阁县撤县设市工作。开展不规范地名清理整治工作，完成广元市和汉中市行政区域界线第四轮联合检查。开展社会工作服务体系建设试点工作，区、街道、社区三级社工服务体系基本建成。</w:t>
      </w:r>
    </w:p>
    <w:p>
      <w:pPr>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七</w:t>
      </w:r>
      <w:r>
        <w:rPr>
          <w:rFonts w:hint="eastAsia" w:ascii="楷体_GB2312" w:hAnsi="楷体_GB2312" w:eastAsia="楷体_GB2312" w:cs="楷体_GB2312"/>
          <w:sz w:val="32"/>
          <w:szCs w:val="32"/>
        </w:rPr>
        <w:t>）项目工作稳步推进。</w:t>
      </w:r>
      <w:r>
        <w:rPr>
          <w:rFonts w:hint="eastAsia" w:ascii="仿宋_GB2312" w:hAnsi="仿宋_GB2312" w:eastAsia="仿宋_GB2312" w:cs="仿宋_GB2312"/>
          <w:sz w:val="32"/>
          <w:szCs w:val="32"/>
        </w:rPr>
        <w:t>“广元市老年养护中心（一期）”“广元市精神康复中心（一期）”〔原广元市综合养老服务中心项目〕，经八届市人民政府第3次常务会议、八届市委常委会第8次会议同意两个项目独立申报争取资金。目前，项目已重新完成用地预审和选址意见书办理、红线图划定，可研立项批复、“广元市精神康复中心（一期）”项目中央预算内资金申报等工作，进入勘察设计招标阶段。</w:t>
      </w:r>
    </w:p>
    <w:p>
      <w:pPr>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八</w:t>
      </w:r>
      <w:r>
        <w:rPr>
          <w:rFonts w:hint="eastAsia" w:ascii="楷体_GB2312" w:hAnsi="楷体_GB2312" w:eastAsia="楷体_GB2312" w:cs="楷体_GB2312"/>
          <w:sz w:val="32"/>
          <w:szCs w:val="32"/>
        </w:rPr>
        <w:t>）扎实做好其他工作。</w:t>
      </w:r>
      <w:r>
        <w:rPr>
          <w:rFonts w:hint="eastAsia" w:ascii="仿宋_GB2312" w:hAnsi="仿宋_GB2312" w:eastAsia="仿宋_GB2312" w:cs="仿宋_GB2312"/>
          <w:sz w:val="32"/>
          <w:szCs w:val="32"/>
        </w:rPr>
        <w:t>全年争取到位资金2499万元，完成全年任务的118.2%。新签约招商引资项目2个，合计投资额20.2亿元，到位资金5000万元。同时，按照市委市政府部署安排，扎实做好机要保密、党史地志、全国文明城市创建、重要改革、依法治市、河长制等各项工作。</w:t>
      </w:r>
    </w:p>
    <w:p>
      <w:pPr>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二、工作经验</w:t>
      </w:r>
    </w:p>
    <w:p>
      <w:pPr>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（一）以实施社区提质、队伍培育、资源聚合“三项工程”为抓手，持续提高城乡社区治理水平。</w:t>
      </w:r>
      <w:r>
        <w:rPr>
          <w:rFonts w:hint="eastAsia" w:ascii="仿宋_GB2312" w:hAnsi="仿宋_GB2312" w:eastAsia="仿宋_GB2312" w:cs="仿宋_GB2312"/>
          <w:sz w:val="32"/>
          <w:szCs w:val="32"/>
        </w:rPr>
        <w:t>在选优配强351个社区“两委”班子，组织实施全覆盖培训基础上，大力实施社会组织队伍、社工人才队伍、社区志愿队伍培育工程，全覆盖建立街道（乡镇）社工站，建立8个社区慈善资金，让社区有人干事、由能力干事。</w:t>
      </w:r>
    </w:p>
    <w:p>
      <w:pPr>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（二）社会组织领域“打非治乱”成果显著。</w:t>
      </w:r>
      <w:r>
        <w:rPr>
          <w:rFonts w:hint="eastAsia" w:ascii="仿宋_GB2312" w:hAnsi="仿宋_GB2312" w:eastAsia="仿宋_GB2312" w:cs="仿宋_GB2312"/>
          <w:sz w:val="32"/>
          <w:szCs w:val="32"/>
        </w:rPr>
        <w:t>整合市县两级民政部门执法工作力量，建立了政法、宣传、公安等22个部门进一步打击整治非法社会组织工作协调机制，组织开展社会组织“六个不得”公诺活动，向社会公告发布两批次依法取缔的非法社会组织名单，依法取缔13家，劝散4家。向公安部门移交线索且立案11件，破案11件，打掉非法组织10个。</w:t>
      </w:r>
    </w:p>
    <w:p>
      <w:pPr>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（三）积极推进农村困难老年人机构养老。</w:t>
      </w:r>
      <w:r>
        <w:rPr>
          <w:rFonts w:hint="eastAsia" w:ascii="仿宋_GB2312" w:hAnsi="仿宋_GB2312" w:eastAsia="仿宋_GB2312" w:cs="仿宋_GB2312"/>
          <w:sz w:val="32"/>
          <w:szCs w:val="32"/>
        </w:rPr>
        <w:t>积极开展农村困难老人大排查行动，通过走访调查、入户宣讲、发放宣传册等方式加强政策宣传，累计走访1万余名农村困难老年人。邀请老人到敬老院“试住”的方式走进敬老院，累计“试住”565人次，吸引352名老年人入住敬老院。落实农村困难老年人机构养老服务补助政策，对农村困难老年人入住机构养老费用给予补助。</w:t>
      </w:r>
      <w:bookmarkEnd w:id="14"/>
      <w:bookmarkEnd w:id="15"/>
      <w:bookmarkStart w:id="23" w:name="_Toc15396602"/>
      <w:bookmarkStart w:id="24" w:name="_Toc15377204"/>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 xml:space="preserve">第二部分 </w:t>
      </w:r>
      <w:r>
        <w:rPr>
          <w:rFonts w:hint="eastAsia" w:ascii="方正小标宋简体" w:hAnsi="方正小标宋简体" w:eastAsia="方正小标宋简体" w:cs="方正小标宋简体"/>
          <w:b w:val="0"/>
          <w:bCs/>
          <w:sz w:val="44"/>
          <w:szCs w:val="44"/>
          <w:lang w:val="en-US" w:eastAsia="zh-CN"/>
        </w:rPr>
        <w:t xml:space="preserve"> </w:t>
      </w:r>
      <w:r>
        <w:rPr>
          <w:rFonts w:hint="eastAsia" w:ascii="方正小标宋简体" w:hAnsi="方正小标宋简体" w:eastAsia="方正小标宋简体" w:cs="方正小标宋简体"/>
          <w:b w:val="0"/>
          <w:bCs/>
          <w:sz w:val="44"/>
          <w:szCs w:val="44"/>
        </w:rPr>
        <w:t>2021年度</w:t>
      </w:r>
      <w:r>
        <w:rPr>
          <w:rStyle w:val="25"/>
          <w:rFonts w:hint="eastAsia" w:ascii="方正小标宋简体" w:hAnsi="方正小标宋简体" w:eastAsia="方正小标宋简体" w:cs="方正小标宋简体"/>
          <w:b w:val="0"/>
          <w:bCs/>
          <w:sz w:val="44"/>
          <w:szCs w:val="44"/>
        </w:rPr>
        <w:t>单位决算情况说明</w:t>
      </w:r>
      <w:bookmarkEnd w:id="23"/>
      <w:bookmarkEnd w:id="24"/>
    </w:p>
    <w:p>
      <w:pPr>
        <w:pStyle w:val="24"/>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1"/>
        <w:rPr>
          <w:rFonts w:hint="eastAsia" w:ascii="宋体" w:hAnsi="宋体" w:eastAsia="宋体" w:cs="宋体"/>
          <w:b/>
          <w:bCs/>
          <w:sz w:val="28"/>
          <w:szCs w:val="28"/>
        </w:rPr>
      </w:pPr>
      <w:bookmarkStart w:id="25" w:name="_Toc15396603"/>
      <w:bookmarkStart w:id="26" w:name="_Toc15377205"/>
    </w:p>
    <w:p>
      <w:pPr>
        <w:pStyle w:val="2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Style w:val="26"/>
          <w:rFonts w:hint="eastAsia" w:ascii="黑体" w:hAnsi="黑体" w:eastAsia="黑体" w:cs="黑体"/>
          <w:b w:val="0"/>
          <w:bCs w:val="0"/>
          <w:sz w:val="28"/>
          <w:szCs w:val="28"/>
        </w:rPr>
      </w:pPr>
      <w:r>
        <w:rPr>
          <w:rFonts w:hint="eastAsia" w:ascii="黑体" w:hAnsi="黑体" w:eastAsia="黑体" w:cs="黑体"/>
          <w:b w:val="0"/>
          <w:bCs w:val="0"/>
          <w:sz w:val="28"/>
          <w:szCs w:val="28"/>
          <w:lang w:eastAsia="zh-CN"/>
        </w:rPr>
        <w:t>一、</w:t>
      </w:r>
      <w:r>
        <w:rPr>
          <w:rFonts w:hint="eastAsia" w:ascii="黑体" w:hAnsi="黑体" w:eastAsia="黑体" w:cs="黑体"/>
          <w:b w:val="0"/>
          <w:bCs w:val="0"/>
          <w:sz w:val="28"/>
          <w:szCs w:val="28"/>
        </w:rPr>
        <w:t>收</w:t>
      </w:r>
      <w:r>
        <w:rPr>
          <w:rStyle w:val="26"/>
          <w:rFonts w:hint="eastAsia" w:ascii="黑体" w:hAnsi="黑体" w:eastAsia="黑体" w:cs="黑体"/>
          <w:b w:val="0"/>
          <w:bCs w:val="0"/>
          <w:sz w:val="28"/>
          <w:szCs w:val="28"/>
        </w:rPr>
        <w:t>入支出决算总体情况说明</w:t>
      </w:r>
      <w:bookmarkEnd w:id="25"/>
      <w:bookmarkEnd w:id="2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2021年度收、支总计1397.9万元。与2020年相比，收、支总计各增加11.79万元，增长0.85%。主要变动原因是增加了儿童福利、“两项改革”后半篇的职能。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（图1：收、支决算总计变动情况图）（柱状图）</w:t>
      </w:r>
    </w:p>
    <w:p>
      <w:pPr>
        <w:pStyle w:val="2"/>
        <w:spacing w:before="93"/>
        <w:rPr>
          <w:rFonts w:hint="eastAsia" w:ascii="仿宋_GB2312" w:hAnsi="仿宋_GB2312" w:eastAsia="仿宋_GB2312" w:cs="仿宋_GB2312"/>
          <w:sz w:val="30"/>
          <w:szCs w:val="30"/>
        </w:rPr>
      </w:pPr>
      <w:r>
        <w:rPr>
          <w:rFonts w:hint="eastAsia" w:ascii="仿宋_GB2312" w:hAnsi="仿宋_GB2312" w:eastAsia="仿宋_GB2312" w:cs="仿宋_GB2312"/>
          <w:color w:val="000000"/>
          <w:sz w:val="30"/>
          <w:szCs w:val="30"/>
          <w:highlight w:val="red"/>
        </w:rPr>
        <w:pict>
          <v:shape id="_x0000_s1027" o:spid="_x0000_s1027" o:spt="75" type="#_x0000_t75" style="position:absolute;left:0pt;margin-left:21.45pt;margin-top:8.05pt;height:209.8pt;width:376.65pt;z-index:251661312;mso-width-relative:page;mso-height-relative:page;" o:ole="t" filled="f" o:preferrelative="t" stroked="f" coordsize="21600,21600">
            <v:path/>
            <v:fill on="f" focussize="0,0"/>
            <v:stroke on="f" joinstyle="miter"/>
            <v:imagedata r:id="rId8" o:title=""/>
            <o:lock v:ext="edit" aspectratio="t"/>
          </v:shape>
          <o:OLEObject Type="Embed" ProgID="MSGraph.Chart.8" ShapeID="_x0000_s1027" DrawAspect="Content" ObjectID="_1468075725" r:id="rId7">
            <o:LockedField>false</o:LockedField>
          </o:OLEObject>
        </w:pict>
      </w:r>
    </w:p>
    <w:p>
      <w:pPr>
        <w:pStyle w:val="2"/>
        <w:spacing w:before="93"/>
        <w:rPr>
          <w:rFonts w:hint="eastAsia" w:ascii="仿宋_GB2312" w:hAnsi="仿宋_GB2312" w:eastAsia="仿宋_GB2312" w:cs="仿宋_GB2312"/>
          <w:sz w:val="30"/>
          <w:szCs w:val="30"/>
        </w:rPr>
      </w:pPr>
    </w:p>
    <w:p>
      <w:pPr>
        <w:pStyle w:val="2"/>
        <w:spacing w:before="93"/>
        <w:rPr>
          <w:rFonts w:hint="eastAsia" w:ascii="仿宋_GB2312" w:hAnsi="仿宋_GB2312" w:eastAsia="仿宋_GB2312" w:cs="仿宋_GB2312"/>
          <w:sz w:val="30"/>
          <w:szCs w:val="30"/>
        </w:rPr>
      </w:pPr>
    </w:p>
    <w:p>
      <w:pPr>
        <w:pStyle w:val="2"/>
        <w:spacing w:before="93"/>
        <w:rPr>
          <w:rFonts w:hint="eastAsia" w:ascii="仿宋_GB2312" w:hAnsi="仿宋_GB2312" w:eastAsia="仿宋_GB2312" w:cs="仿宋_GB2312"/>
          <w:sz w:val="30"/>
          <w:szCs w:val="30"/>
        </w:rPr>
      </w:pPr>
    </w:p>
    <w:p>
      <w:pPr>
        <w:pStyle w:val="24"/>
        <w:spacing w:line="600" w:lineRule="exact"/>
        <w:ind w:firstLine="640"/>
        <w:outlineLvl w:val="1"/>
        <w:rPr>
          <w:rFonts w:hint="eastAsia" w:ascii="宋体" w:hAnsi="宋体" w:eastAsia="宋体" w:cs="宋体"/>
          <w:b/>
          <w:bCs/>
          <w:sz w:val="28"/>
          <w:szCs w:val="28"/>
        </w:rPr>
      </w:pPr>
      <w:bookmarkStart w:id="27" w:name="_Toc15396604"/>
      <w:bookmarkStart w:id="28" w:name="_Toc15377206"/>
    </w:p>
    <w:p>
      <w:pPr>
        <w:pStyle w:val="24"/>
        <w:spacing w:line="600" w:lineRule="exact"/>
        <w:ind w:firstLine="640"/>
        <w:outlineLvl w:val="1"/>
        <w:rPr>
          <w:rFonts w:hint="eastAsia" w:ascii="宋体" w:hAnsi="宋体" w:eastAsia="宋体" w:cs="宋体"/>
          <w:b/>
          <w:bCs/>
          <w:sz w:val="28"/>
          <w:szCs w:val="28"/>
        </w:rPr>
      </w:pPr>
    </w:p>
    <w:p>
      <w:pPr>
        <w:pStyle w:val="24"/>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1"/>
        <w:rPr>
          <w:rStyle w:val="26"/>
          <w:rFonts w:hint="eastAsia" w:ascii="黑体" w:hAnsi="黑体" w:eastAsia="黑体" w:cs="黑体"/>
          <w:b w:val="0"/>
          <w:bCs w:val="0"/>
          <w:sz w:val="32"/>
          <w:szCs w:val="32"/>
        </w:rPr>
      </w:pPr>
      <w:r>
        <w:rPr>
          <w:rFonts w:hint="eastAsia" w:ascii="黑体" w:hAnsi="黑体" w:eastAsia="黑体" w:cs="黑体"/>
          <w:b w:val="0"/>
          <w:bCs w:val="0"/>
          <w:sz w:val="32"/>
          <w:szCs w:val="32"/>
        </w:rPr>
        <w:t>二、收</w:t>
      </w:r>
      <w:r>
        <w:rPr>
          <w:rStyle w:val="26"/>
          <w:rFonts w:hint="eastAsia" w:ascii="黑体" w:hAnsi="黑体" w:eastAsia="黑体" w:cs="黑体"/>
          <w:b w:val="0"/>
          <w:bCs w:val="0"/>
          <w:sz w:val="32"/>
          <w:szCs w:val="32"/>
        </w:rPr>
        <w:t>入决算情况说明</w:t>
      </w:r>
      <w:bookmarkEnd w:id="27"/>
      <w:bookmarkEnd w:id="2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2021年本年收入合计1197.92万元，其中：一般公共预算财政拨款收入1047.92万元，占87.5%；政府性基金预算财政拨款收入150万元，占12.5%。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FF0000"/>
          <w:sz w:val="32"/>
          <w:szCs w:val="32"/>
        </w:rPr>
        <w:pict>
          <v:shape id="_x0000_s1029" o:spid="_x0000_s1029" o:spt="75" type="#_x0000_t75" style="position:absolute;left:0pt;margin-left:9.95pt;margin-top:20.1pt;height:275.2pt;width:450.15pt;z-index:251662336;mso-width-relative:page;mso-height-relative:page;" o:ole="t" filled="f" o:preferrelative="t" stroked="f" coordsize="21600,21600">
            <v:path/>
            <v:fill on="f" focussize="0,0"/>
            <v:stroke on="f" joinstyle="miter"/>
            <v:imagedata r:id="rId10" o:title=""/>
            <o:lock v:ext="edit" aspectratio="t"/>
          </v:shape>
          <o:OLEObject Type="Embed" ProgID="MSGraph.Chart.8" ShapeID="_x0000_s1029" DrawAspect="Content" ObjectID="_1468075726" r:id="rId9">
            <o:LockedField>false</o:LockedField>
          </o:OLEObject>
        </w:pict>
      </w:r>
      <w:r>
        <w:rPr>
          <w:rFonts w:hint="eastAsia" w:ascii="仿宋_GB2312" w:hAnsi="仿宋_GB2312" w:eastAsia="仿宋_GB2312" w:cs="仿宋_GB2312"/>
          <w:sz w:val="32"/>
          <w:szCs w:val="32"/>
        </w:rPr>
        <w:t>（图2：收入决算结构图）（饼状图）</w:t>
      </w:r>
    </w:p>
    <w:p>
      <w:pPr>
        <w:spacing w:line="600" w:lineRule="exact"/>
        <w:rPr>
          <w:rFonts w:hint="eastAsia" w:ascii="仿宋_GB2312" w:hAnsi="仿宋_GB2312" w:eastAsia="仿宋_GB2312" w:cs="仿宋_GB2312"/>
          <w:sz w:val="30"/>
          <w:szCs w:val="30"/>
        </w:rPr>
      </w:pPr>
    </w:p>
    <w:p>
      <w:pPr>
        <w:pStyle w:val="2"/>
        <w:spacing w:before="93"/>
        <w:rPr>
          <w:rFonts w:hint="eastAsia" w:ascii="仿宋_GB2312" w:hAnsi="仿宋_GB2312" w:eastAsia="仿宋_GB2312" w:cs="仿宋_GB2312"/>
          <w:sz w:val="30"/>
          <w:szCs w:val="30"/>
        </w:rPr>
      </w:pPr>
    </w:p>
    <w:p>
      <w:pPr>
        <w:pStyle w:val="2"/>
        <w:spacing w:before="93"/>
        <w:rPr>
          <w:rFonts w:hint="eastAsia" w:ascii="仿宋_GB2312" w:hAnsi="仿宋_GB2312" w:eastAsia="仿宋_GB2312" w:cs="仿宋_GB2312"/>
          <w:sz w:val="30"/>
          <w:szCs w:val="30"/>
        </w:rPr>
      </w:pPr>
    </w:p>
    <w:p>
      <w:pPr>
        <w:pStyle w:val="2"/>
        <w:spacing w:before="93"/>
        <w:rPr>
          <w:rFonts w:hint="eastAsia" w:ascii="仿宋_GB2312" w:hAnsi="仿宋_GB2312" w:eastAsia="仿宋_GB2312" w:cs="仿宋_GB2312"/>
          <w:sz w:val="30"/>
          <w:szCs w:val="30"/>
        </w:rPr>
      </w:pPr>
    </w:p>
    <w:p>
      <w:pPr>
        <w:pStyle w:val="24"/>
        <w:numPr>
          <w:ilvl w:val="0"/>
          <w:numId w:val="0"/>
        </w:numPr>
        <w:spacing w:line="600" w:lineRule="exact"/>
        <w:jc w:val="left"/>
        <w:outlineLvl w:val="1"/>
        <w:rPr>
          <w:rFonts w:hint="eastAsia" w:ascii="宋体" w:hAnsi="宋体" w:cs="宋体"/>
          <w:b/>
          <w:bCs/>
          <w:sz w:val="28"/>
          <w:szCs w:val="28"/>
          <w:lang w:eastAsia="zh-CN"/>
        </w:rPr>
      </w:pPr>
      <w:bookmarkStart w:id="29" w:name="_Toc15396605"/>
      <w:bookmarkStart w:id="30" w:name="_Toc15377207"/>
    </w:p>
    <w:p>
      <w:pPr>
        <w:pStyle w:val="24"/>
        <w:numPr>
          <w:ilvl w:val="0"/>
          <w:numId w:val="0"/>
        </w:numPr>
        <w:spacing w:line="600" w:lineRule="exact"/>
        <w:ind w:firstLine="640" w:firstLineChars="200"/>
        <w:jc w:val="left"/>
        <w:outlineLvl w:val="1"/>
        <w:rPr>
          <w:rStyle w:val="26"/>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支</w:t>
      </w:r>
      <w:r>
        <w:rPr>
          <w:rStyle w:val="26"/>
          <w:rFonts w:hint="eastAsia" w:ascii="黑体" w:hAnsi="黑体" w:eastAsia="黑体" w:cs="黑体"/>
          <w:b w:val="0"/>
          <w:bCs w:val="0"/>
          <w:sz w:val="32"/>
          <w:szCs w:val="32"/>
        </w:rPr>
        <w:t>出决算情况说明</w:t>
      </w:r>
      <w:bookmarkEnd w:id="29"/>
      <w:bookmarkEnd w:id="30"/>
    </w:p>
    <w:p>
      <w:pPr>
        <w:spacing w:line="60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2021年本年支出合计1284.82万元，其中：基本支出941.6</w:t>
      </w:r>
      <w:del w:id="3" w:author="优钵罗华86nlss" w:date="2023-06-20T16:26:39Z">
        <w:r>
          <w:rPr>
            <w:rFonts w:hint="default" w:ascii="仿宋_GB2312" w:hAnsi="仿宋_GB2312" w:eastAsia="仿宋_GB2312" w:cs="仿宋_GB2312"/>
            <w:sz w:val="32"/>
            <w:szCs w:val="32"/>
            <w:lang w:val="en-US"/>
          </w:rPr>
          <w:delText>8</w:delText>
        </w:r>
      </w:del>
      <w:ins w:id="4" w:author="user" w:date="2023-09-08T11:09:50Z">
        <w:r>
          <w:rPr>
            <w:rFonts w:hint="eastAsia" w:ascii="仿宋_GB2312" w:hAnsi="仿宋_GB2312" w:eastAsia="仿宋_GB2312" w:cs="仿宋_GB2312"/>
            <w:sz w:val="32"/>
            <w:szCs w:val="32"/>
            <w:lang w:val="en-US" w:eastAsia="zh-CN"/>
          </w:rPr>
          <w:t>9</w:t>
        </w:r>
      </w:ins>
      <w:ins w:id="5" w:author="优钵罗华86nlss" w:date="2023-06-20T16:26:39Z">
        <w:del w:id="6" w:author="user" w:date="2023-09-08T11:09:28Z">
          <w:r>
            <w:rPr>
              <w:rFonts w:hint="eastAsia" w:ascii="仿宋_GB2312" w:hAnsi="仿宋_GB2312" w:eastAsia="仿宋_GB2312" w:cs="仿宋_GB2312"/>
              <w:sz w:val="32"/>
              <w:szCs w:val="32"/>
              <w:lang w:val="en-US" w:eastAsia="zh-CN"/>
            </w:rPr>
            <w:delText>9</w:delText>
          </w:r>
        </w:del>
      </w:ins>
      <w:r>
        <w:rPr>
          <w:rFonts w:hint="eastAsia" w:ascii="仿宋_GB2312" w:hAnsi="仿宋_GB2312" w:eastAsia="仿宋_GB2312" w:cs="仿宋_GB2312"/>
          <w:sz w:val="32"/>
          <w:szCs w:val="32"/>
        </w:rPr>
        <w:t>万元，占73.3%；项目支出343.13万元，占26.7%。</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（图3：支出决算结构图）（饼状图）</w:t>
      </w:r>
    </w:p>
    <w:p>
      <w:pPr>
        <w:pStyle w:val="2"/>
        <w:spacing w:before="93"/>
        <w:rPr>
          <w:rFonts w:hint="eastAsia" w:ascii="仿宋_GB2312" w:hAnsi="仿宋_GB2312" w:eastAsia="仿宋_GB2312" w:cs="仿宋_GB2312"/>
          <w:sz w:val="30"/>
          <w:szCs w:val="30"/>
        </w:rPr>
      </w:pPr>
      <w:r>
        <w:rPr>
          <w:rFonts w:hint="eastAsia" w:ascii="仿宋_GB2312" w:hAnsi="仿宋_GB2312" w:eastAsia="仿宋_GB2312" w:cs="仿宋_GB2312"/>
          <w:color w:val="000000"/>
          <w:sz w:val="32"/>
          <w:szCs w:val="32"/>
        </w:rPr>
        <w:pict>
          <v:shape id="_x0000_s1030" o:spid="_x0000_s1030" o:spt="75" type="#_x0000_t75" style="position:absolute;left:0pt;margin-left:37.5pt;margin-top:0.1pt;height:230.2pt;width:375.75pt;z-index:251663360;mso-width-relative:page;mso-height-relative:page;" o:ole="t" filled="f" o:preferrelative="t" stroked="f" coordsize="21600,21600">
            <v:path/>
            <v:fill on="f" focussize="0,0"/>
            <v:stroke on="f"/>
            <v:imagedata r:id="rId12" o:title=""/>
            <o:lock v:ext="edit" aspectratio="t"/>
          </v:shape>
          <o:OLEObject Type="Embed" ProgID="MSGraph.Chart.8" ShapeID="_x0000_s1030" DrawAspect="Content" ObjectID="_1468075727" r:id="rId11">
            <o:LockedField>false</o:LockedField>
          </o:OLEObject>
        </w:pict>
      </w:r>
    </w:p>
    <w:p>
      <w:pPr>
        <w:pStyle w:val="2"/>
        <w:spacing w:before="93"/>
        <w:rPr>
          <w:rFonts w:hint="eastAsia" w:ascii="仿宋_GB2312" w:hAnsi="仿宋_GB2312" w:eastAsia="仿宋_GB2312" w:cs="仿宋_GB2312"/>
          <w:sz w:val="30"/>
          <w:szCs w:val="30"/>
        </w:rPr>
      </w:pPr>
    </w:p>
    <w:p>
      <w:pPr>
        <w:pStyle w:val="2"/>
        <w:spacing w:before="93"/>
        <w:rPr>
          <w:rFonts w:hint="eastAsia" w:ascii="仿宋_GB2312" w:hAnsi="仿宋_GB2312" w:eastAsia="仿宋_GB2312" w:cs="仿宋_GB2312"/>
          <w:sz w:val="30"/>
          <w:szCs w:val="30"/>
        </w:rPr>
      </w:pPr>
    </w:p>
    <w:p>
      <w:pPr>
        <w:pStyle w:val="2"/>
        <w:spacing w:before="93"/>
        <w:rPr>
          <w:rFonts w:hint="eastAsia" w:ascii="仿宋_GB2312" w:hAnsi="仿宋_GB2312" w:eastAsia="仿宋_GB2312" w:cs="仿宋_GB2312"/>
          <w:sz w:val="30"/>
          <w:szCs w:val="30"/>
        </w:rPr>
      </w:pPr>
    </w:p>
    <w:p>
      <w:pPr>
        <w:spacing w:line="600" w:lineRule="exact"/>
        <w:outlineLvl w:val="1"/>
        <w:rPr>
          <w:rFonts w:hint="eastAsia" w:ascii="仿宋_GB2312" w:hAnsi="仿宋_GB2312" w:eastAsia="仿宋_GB2312" w:cs="仿宋_GB2312"/>
          <w:sz w:val="30"/>
          <w:szCs w:val="30"/>
        </w:rPr>
      </w:pPr>
      <w:bookmarkStart w:id="31" w:name="_Toc15377208"/>
      <w:bookmarkStart w:id="32" w:name="_Toc15396606"/>
    </w:p>
    <w:p>
      <w:pPr>
        <w:spacing w:line="600" w:lineRule="exact"/>
        <w:ind w:firstLine="562" w:firstLineChars="200"/>
        <w:outlineLvl w:val="1"/>
        <w:rPr>
          <w:rFonts w:hint="eastAsia" w:ascii="宋体" w:hAnsi="宋体" w:eastAsia="宋体" w:cs="宋体"/>
          <w:b/>
          <w:bCs/>
          <w:sz w:val="28"/>
          <w:szCs w:val="28"/>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ins w:id="7" w:author="user" w:date="2023-09-08T11:09:21Z"/>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Style w:val="26"/>
          <w:rFonts w:hint="eastAsia" w:ascii="黑体" w:hAnsi="黑体" w:eastAsia="黑体" w:cs="黑体"/>
          <w:b w:val="0"/>
          <w:bCs w:val="0"/>
          <w:sz w:val="32"/>
          <w:szCs w:val="32"/>
        </w:rPr>
      </w:pPr>
      <w:r>
        <w:rPr>
          <w:rFonts w:hint="eastAsia" w:ascii="黑体" w:hAnsi="黑体" w:eastAsia="黑体" w:cs="黑体"/>
          <w:b w:val="0"/>
          <w:bCs w:val="0"/>
          <w:sz w:val="32"/>
          <w:szCs w:val="32"/>
        </w:rPr>
        <w:t>四、财</w:t>
      </w:r>
      <w:r>
        <w:rPr>
          <w:rStyle w:val="26"/>
          <w:rFonts w:hint="eastAsia" w:ascii="黑体" w:hAnsi="黑体" w:eastAsia="黑体" w:cs="黑体"/>
          <w:b w:val="0"/>
          <w:bCs w:val="0"/>
          <w:sz w:val="32"/>
          <w:szCs w:val="32"/>
        </w:rPr>
        <w:t>政拨款收入支出决算总体情况说明</w:t>
      </w:r>
      <w:bookmarkEnd w:id="31"/>
      <w:bookmarkEnd w:id="32"/>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2021年财政拨款收、支总计1397.9万元。与2020年相比，财政拨款收、支总计各增加11.79万元，增长0.85%。主要变动原因是增加了儿童福利、“两项改革”后半篇的职能。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（图4：财政拨款收、支决算总计变动情况）（柱状图）</w:t>
      </w:r>
    </w:p>
    <w:p>
      <w:pPr>
        <w:pStyle w:val="2"/>
        <w:keepNext w:val="0"/>
        <w:keepLines w:val="0"/>
        <w:pageBreakBefore w:val="0"/>
        <w:widowControl w:val="0"/>
        <w:kinsoku/>
        <w:wordWrap/>
        <w:overflowPunct/>
        <w:topLinePunct w:val="0"/>
        <w:autoSpaceDE/>
        <w:autoSpaceDN/>
        <w:bidi w:val="0"/>
        <w:adjustRightInd/>
        <w:snapToGrid/>
        <w:spacing w:beforeLines="0" w:line="576" w:lineRule="exact"/>
        <w:textAlignment w:val="auto"/>
        <w:rPr>
          <w:rFonts w:hint="eastAsia" w:ascii="仿宋_GB2312" w:hAnsi="仿宋_GB2312" w:eastAsia="仿宋_GB2312" w:cs="仿宋_GB2312"/>
          <w:sz w:val="30"/>
          <w:szCs w:val="30"/>
        </w:rPr>
      </w:pPr>
    </w:p>
    <w:p>
      <w:pPr>
        <w:pStyle w:val="2"/>
        <w:spacing w:before="93"/>
        <w:rPr>
          <w:rFonts w:hint="eastAsia" w:ascii="仿宋_GB2312" w:hAnsi="仿宋_GB2312" w:eastAsia="仿宋_GB2312" w:cs="仿宋_GB2312"/>
          <w:sz w:val="30"/>
          <w:szCs w:val="30"/>
        </w:rPr>
      </w:pPr>
      <w:r>
        <w:rPr>
          <w:rFonts w:hint="eastAsia" w:ascii="仿宋_GB2312" w:hAnsi="仿宋_GB2312" w:eastAsia="仿宋_GB2312" w:cs="仿宋_GB2312"/>
          <w:color w:val="000000"/>
          <w:sz w:val="30"/>
          <w:szCs w:val="30"/>
        </w:rPr>
        <w:pict>
          <v:shape id="_x0000_s1031" o:spid="_x0000_s1031" o:spt="75" type="#_x0000_t75" style="position:absolute;left:0pt;margin-left:51pt;margin-top:9.2pt;height:175.15pt;width:326.4pt;z-index:251664384;mso-width-relative:page;mso-height-relative:page;" o:ole="t" filled="f" o:preferrelative="t" stroked="f" coordsize="21600,21600">
            <v:path/>
            <v:fill on="f" focussize="0,0"/>
            <v:stroke on="f"/>
            <v:imagedata r:id="rId14" o:title=""/>
            <o:lock v:ext="edit" aspectratio="t"/>
          </v:shape>
          <o:OLEObject Type="Embed" ProgID="MSGraph.Chart.8" ShapeID="_x0000_s1031" DrawAspect="Content" ObjectID="_1468075728" r:id="rId13">
            <o:LockedField>false</o:LockedField>
          </o:OLEObject>
        </w:pict>
      </w:r>
    </w:p>
    <w:p>
      <w:pPr>
        <w:pStyle w:val="2"/>
        <w:spacing w:before="93"/>
        <w:rPr>
          <w:rFonts w:hint="eastAsia" w:ascii="仿宋_GB2312" w:hAnsi="仿宋_GB2312" w:eastAsia="仿宋_GB2312" w:cs="仿宋_GB2312"/>
          <w:sz w:val="30"/>
          <w:szCs w:val="30"/>
        </w:rPr>
      </w:pPr>
    </w:p>
    <w:p>
      <w:pPr>
        <w:pStyle w:val="2"/>
        <w:spacing w:before="93"/>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1"/>
        <w:rPr>
          <w:ins w:id="8" w:author="user" w:date="2023-09-08T11:09:12Z"/>
          <w:rFonts w:hint="eastAsia" w:ascii="黑体" w:hAnsi="黑体" w:eastAsia="黑体" w:cs="黑体"/>
          <w:b w:val="0"/>
          <w:bCs w:val="0"/>
          <w:sz w:val="32"/>
          <w:szCs w:val="32"/>
        </w:rPr>
      </w:pPr>
      <w:bookmarkStart w:id="33" w:name="_Toc15377209"/>
      <w:bookmarkStart w:id="34" w:name="_Toc15396607"/>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1"/>
        <w:rPr>
          <w:rStyle w:val="26"/>
          <w:rFonts w:hint="eastAsia" w:ascii="黑体" w:hAnsi="黑体" w:eastAsia="黑体" w:cs="黑体"/>
          <w:b w:val="0"/>
          <w:bCs w:val="0"/>
          <w:sz w:val="32"/>
          <w:szCs w:val="32"/>
        </w:rPr>
      </w:pPr>
      <w:r>
        <w:rPr>
          <w:rFonts w:hint="eastAsia" w:ascii="黑体" w:hAnsi="黑体" w:eastAsia="黑体" w:cs="黑体"/>
          <w:b w:val="0"/>
          <w:bCs w:val="0"/>
          <w:sz w:val="32"/>
          <w:szCs w:val="32"/>
        </w:rPr>
        <w:t>五、一</w:t>
      </w:r>
      <w:r>
        <w:rPr>
          <w:rStyle w:val="26"/>
          <w:rFonts w:hint="eastAsia" w:ascii="黑体" w:hAnsi="黑体" w:eastAsia="黑体" w:cs="黑体"/>
          <w:b w:val="0"/>
          <w:bCs w:val="0"/>
          <w:sz w:val="32"/>
          <w:szCs w:val="32"/>
        </w:rPr>
        <w:t>般公共预算财政拨款支出决算情况说明</w:t>
      </w:r>
      <w:bookmarkEnd w:id="33"/>
      <w:bookmarkEnd w:id="34"/>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2"/>
        <w:rPr>
          <w:rFonts w:hint="eastAsia" w:ascii="楷体_GB2312" w:hAnsi="楷体_GB2312" w:eastAsia="楷体_GB2312" w:cs="楷体_GB2312"/>
          <w:b w:val="0"/>
          <w:bCs/>
          <w:sz w:val="32"/>
          <w:szCs w:val="32"/>
        </w:rPr>
      </w:pPr>
      <w:bookmarkStart w:id="35" w:name="_Toc15377210"/>
      <w:r>
        <w:rPr>
          <w:rFonts w:hint="eastAsia" w:ascii="楷体_GB2312" w:hAnsi="楷体_GB2312" w:eastAsia="楷体_GB2312" w:cs="楷体_GB2312"/>
          <w:b w:val="0"/>
          <w:bCs/>
          <w:sz w:val="32"/>
          <w:szCs w:val="32"/>
        </w:rPr>
        <w:t>（一）一般公共预算财政拨款支出决算总体情况</w:t>
      </w:r>
      <w:bookmarkEnd w:id="35"/>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2021年一般公共预算财政拨款支出1110.82万元，占本年支出合计的79.5%。与2020年相比，一般公共预算财政拨款支出减少37.42万元，下降3.3%。主要变动原因是过“紧日子”压缩开支及因“疾情”减少临时救助对象。</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pict>
          <v:shape id="_x0000_s1032" o:spid="_x0000_s1032" o:spt="75" type="#_x0000_t75" style="position:absolute;left:0pt;margin-left:56.65pt;margin-top:17.4pt;height:175.55pt;width:311.05pt;z-index:251665408;mso-width-relative:page;mso-height-relative:page;" o:ole="t" filled="f" o:preferrelative="t" stroked="f" coordsize="21600,21600">
            <v:path/>
            <v:fill on="f" focussize="0,0"/>
            <v:stroke on="f"/>
            <v:imagedata r:id="rId16" o:title=""/>
            <o:lock v:ext="edit" aspectratio="t"/>
          </v:shape>
          <o:OLEObject Type="Embed" ProgID="MSGraph.Chart.8" ShapeID="_x0000_s1032" DrawAspect="Content" ObjectID="_1468075729" r:id="rId15">
            <o:LockedField>false</o:LockedField>
          </o:OLEObject>
        </w:pict>
      </w:r>
      <w:r>
        <w:rPr>
          <w:rFonts w:hint="eastAsia" w:ascii="仿宋_GB2312" w:hAnsi="仿宋_GB2312" w:eastAsia="仿宋_GB2312" w:cs="仿宋_GB2312"/>
          <w:sz w:val="32"/>
          <w:szCs w:val="32"/>
        </w:rPr>
        <w:t>（图5：一般公共预算财政拨款支出决算变动情况）（柱状图）</w:t>
      </w:r>
    </w:p>
    <w:p>
      <w:pPr>
        <w:pStyle w:val="2"/>
        <w:rPr>
          <w:rFonts w:hint="eastAsia" w:ascii="仿宋_GB2312" w:hAnsi="仿宋_GB2312" w:eastAsia="仿宋_GB2312" w:cs="仿宋_GB2312"/>
          <w:sz w:val="30"/>
          <w:szCs w:val="30"/>
        </w:rPr>
      </w:pPr>
    </w:p>
    <w:p>
      <w:pPr>
        <w:pStyle w:val="2"/>
        <w:rPr>
          <w:rFonts w:hint="eastAsia" w:ascii="仿宋_GB2312" w:hAnsi="仿宋_GB2312" w:eastAsia="仿宋_GB2312" w:cs="仿宋_GB2312"/>
          <w:sz w:val="30"/>
          <w:szCs w:val="30"/>
        </w:rPr>
      </w:pPr>
    </w:p>
    <w:p>
      <w:pPr>
        <w:pStyle w:val="2"/>
        <w:rPr>
          <w:rFonts w:hint="eastAsia" w:ascii="仿宋_GB2312" w:hAnsi="仿宋_GB2312" w:eastAsia="仿宋_GB2312" w:cs="仿宋_GB2312"/>
          <w:sz w:val="30"/>
          <w:szCs w:val="30"/>
        </w:rPr>
      </w:pPr>
    </w:p>
    <w:p>
      <w:pPr>
        <w:pStyle w:val="2"/>
        <w:spacing w:before="93"/>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ins w:id="9" w:author="user" w:date="2023-09-11T08:55:45Z"/>
          <w:rFonts w:hint="eastAsia" w:ascii="楷体_GB2312" w:hAnsi="楷体_GB2312" w:eastAsia="楷体_GB2312" w:cs="楷体_GB2312"/>
          <w:b w:val="0"/>
          <w:bCs/>
          <w:sz w:val="32"/>
          <w:szCs w:val="32"/>
        </w:rPr>
      </w:pPr>
      <w:bookmarkStart w:id="36" w:name="_Toc1537721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（二）一般公共预算财政拨款支出决算结构情况</w:t>
      </w:r>
      <w:bookmarkEnd w:id="36"/>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2021年一般公共预算财政拨款支出1110.82万元，主要用于以下方面:</w:t>
      </w:r>
      <w:r>
        <w:rPr>
          <w:rFonts w:hint="eastAsia" w:ascii="仿宋_GB2312" w:hAnsi="仿宋_GB2312" w:eastAsia="仿宋_GB2312" w:cs="仿宋_GB2312"/>
          <w:b/>
          <w:sz w:val="32"/>
          <w:szCs w:val="32"/>
        </w:rPr>
        <w:t>社会保障和就业（类）</w:t>
      </w:r>
      <w:r>
        <w:rPr>
          <w:rFonts w:hint="eastAsia" w:ascii="仿宋_GB2312" w:hAnsi="仿宋_GB2312" w:eastAsia="仿宋_GB2312" w:cs="仿宋_GB2312"/>
          <w:sz w:val="32"/>
          <w:szCs w:val="32"/>
        </w:rPr>
        <w:t>支出1026.28元，占92.4%；</w:t>
      </w:r>
      <w:r>
        <w:rPr>
          <w:rFonts w:hint="eastAsia" w:ascii="仿宋_GB2312" w:hAnsi="仿宋_GB2312" w:eastAsia="仿宋_GB2312" w:cs="仿宋_GB2312"/>
          <w:b/>
          <w:bCs/>
          <w:sz w:val="32"/>
          <w:szCs w:val="32"/>
        </w:rPr>
        <w:t>卫生健康支出</w:t>
      </w:r>
      <w:r>
        <w:rPr>
          <w:rFonts w:hint="eastAsia" w:ascii="仿宋_GB2312" w:hAnsi="仿宋_GB2312" w:eastAsia="仿宋_GB2312" w:cs="仿宋_GB2312"/>
          <w:sz w:val="32"/>
          <w:szCs w:val="32"/>
        </w:rPr>
        <w:t>26.15万元，占2.3%；住房保障支出58.3</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万元，占5.3%。</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（图6：一般公共预算财政拨款支出决算结构）（饼状图）</w:t>
      </w:r>
    </w:p>
    <w:p>
      <w:pPr>
        <w:pStyle w:val="2"/>
        <w:keepNext w:val="0"/>
        <w:keepLines w:val="0"/>
        <w:pageBreakBefore w:val="0"/>
        <w:widowControl w:val="0"/>
        <w:kinsoku/>
        <w:wordWrap/>
        <w:overflowPunct/>
        <w:topLinePunct w:val="0"/>
        <w:autoSpaceDE/>
        <w:autoSpaceDN/>
        <w:bidi w:val="0"/>
        <w:adjustRightInd/>
        <w:snapToGrid/>
        <w:spacing w:beforeLines="0" w:line="57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pict>
          <v:shape id="_x0000_s1033" o:spid="_x0000_s1033" o:spt="75" type="#_x0000_t75" style="position:absolute;left:0pt;margin-left:67.5pt;margin-top:1.95pt;height:201.05pt;width:414.5pt;z-index:251666432;mso-width-relative:page;mso-height-relative:page;" o:ole="t" filled="f" o:preferrelative="t" stroked="f" coordsize="21600,21600">
            <v:path/>
            <v:fill on="f" focussize="0,0"/>
            <v:stroke on="f" joinstyle="miter"/>
            <v:imagedata r:id="rId18" o:title=""/>
            <o:lock v:ext="edit" aspectratio="t"/>
          </v:shape>
          <o:OLEObject Type="Embed" ProgID="MSGraph.Chart.8" ShapeID="_x0000_s1033" DrawAspect="Content" ObjectID="_1468075730" r:id="rId17">
            <o:LockedField>false</o:LockedField>
          </o:OLEObject>
        </w:pict>
      </w:r>
    </w:p>
    <w:p>
      <w:pPr>
        <w:pStyle w:val="2"/>
        <w:spacing w:before="93"/>
        <w:rPr>
          <w:rFonts w:hint="eastAsia" w:ascii="仿宋_GB2312" w:hAnsi="仿宋_GB2312" w:eastAsia="仿宋_GB2312" w:cs="仿宋_GB2312"/>
          <w:sz w:val="30"/>
          <w:szCs w:val="30"/>
        </w:rPr>
      </w:pPr>
    </w:p>
    <w:p>
      <w:pPr>
        <w:pStyle w:val="2"/>
        <w:spacing w:before="93"/>
        <w:rPr>
          <w:rFonts w:hint="eastAsia" w:ascii="仿宋_GB2312" w:hAnsi="仿宋_GB2312" w:eastAsia="仿宋_GB2312" w:cs="仿宋_GB2312"/>
          <w:sz w:val="30"/>
          <w:szCs w:val="30"/>
        </w:rPr>
      </w:pPr>
    </w:p>
    <w:p>
      <w:pPr>
        <w:pStyle w:val="2"/>
        <w:spacing w:before="93"/>
        <w:rPr>
          <w:rFonts w:hint="eastAsia" w:ascii="仿宋_GB2312" w:hAnsi="仿宋_GB2312" w:eastAsia="仿宋_GB2312" w:cs="仿宋_GB2312"/>
          <w:sz w:val="30"/>
          <w:szCs w:val="30"/>
        </w:rPr>
      </w:pPr>
    </w:p>
    <w:p>
      <w:pPr>
        <w:spacing w:line="600" w:lineRule="exact"/>
        <w:ind w:firstLine="640" w:firstLineChars="200"/>
        <w:outlineLvl w:val="2"/>
        <w:rPr>
          <w:rFonts w:hint="eastAsia" w:ascii="楷体_GB2312" w:hAnsi="楷体_GB2312" w:eastAsia="楷体_GB2312" w:cs="楷体_GB2312"/>
          <w:b w:val="0"/>
          <w:bCs/>
          <w:sz w:val="32"/>
          <w:szCs w:val="32"/>
        </w:rPr>
      </w:pPr>
      <w:bookmarkStart w:id="37" w:name="_Toc15377212"/>
      <w:r>
        <w:rPr>
          <w:rFonts w:hint="eastAsia" w:ascii="楷体_GB2312" w:hAnsi="楷体_GB2312" w:eastAsia="楷体_GB2312" w:cs="楷体_GB2312"/>
          <w:b w:val="0"/>
          <w:bCs/>
          <w:sz w:val="32"/>
          <w:szCs w:val="32"/>
        </w:rPr>
        <w:t>（三）一般公共预算财政拨款支出决算具体情况</w:t>
      </w:r>
      <w:bookmarkEnd w:id="37"/>
    </w:p>
    <w:p>
      <w:pPr>
        <w:spacing w:line="600" w:lineRule="exact"/>
        <w:ind w:firstLine="642" w:firstLineChars="200"/>
        <w:outlineLvl w:val="2"/>
        <w:rPr>
          <w:rStyle w:val="14"/>
          <w:rFonts w:hint="eastAsia" w:ascii="仿宋_GB2312" w:hAnsi="仿宋_GB2312" w:eastAsia="仿宋_GB2312" w:cs="仿宋_GB2312"/>
          <w:b w:val="0"/>
          <w:bCs/>
          <w:color w:val="000000"/>
          <w:sz w:val="32"/>
          <w:szCs w:val="32"/>
        </w:rPr>
      </w:pPr>
      <w:bookmarkStart w:id="38" w:name="_Toc15378460"/>
      <w:bookmarkStart w:id="39" w:name="_Toc15377213"/>
      <w:bookmarkStart w:id="40" w:name="_Toc15377444"/>
      <w:r>
        <w:rPr>
          <w:rFonts w:hint="eastAsia" w:ascii="仿宋_GB2312" w:hAnsi="仿宋_GB2312" w:eastAsia="仿宋_GB2312" w:cs="仿宋_GB2312"/>
          <w:b/>
          <w:sz w:val="32"/>
          <w:szCs w:val="32"/>
        </w:rPr>
        <w:t>2021年一般公共预算支出决算数为1110.82</w:t>
      </w:r>
      <w:r>
        <w:rPr>
          <w:rFonts w:hint="eastAsia" w:ascii="仿宋_GB2312" w:hAnsi="仿宋_GB2312" w:eastAsia="仿宋_GB2312" w:cs="仿宋_GB2312"/>
          <w:sz w:val="32"/>
          <w:szCs w:val="32"/>
        </w:rPr>
        <w:t>，</w:t>
      </w:r>
      <w:r>
        <w:rPr>
          <w:rStyle w:val="14"/>
          <w:rFonts w:hint="eastAsia" w:ascii="仿宋_GB2312" w:hAnsi="仿宋_GB2312" w:eastAsia="仿宋_GB2312" w:cs="仿宋_GB2312"/>
          <w:bCs/>
          <w:sz w:val="32"/>
          <w:szCs w:val="32"/>
        </w:rPr>
        <w:t>完成预算</w:t>
      </w:r>
      <w:del w:id="10" w:author="user" w:date="2023-09-11T10:46:47Z">
        <w:r>
          <w:rPr>
            <w:rStyle w:val="14"/>
            <w:rFonts w:hint="default" w:ascii="仿宋_GB2312" w:hAnsi="仿宋_GB2312" w:eastAsia="仿宋_GB2312" w:cs="仿宋_GB2312"/>
            <w:bCs/>
            <w:sz w:val="32"/>
            <w:szCs w:val="32"/>
            <w:lang w:val="en-US"/>
          </w:rPr>
          <w:delText>100%</w:delText>
        </w:r>
      </w:del>
      <w:ins w:id="11" w:author="user" w:date="2023-09-11T10:46:47Z">
        <w:r>
          <w:rPr>
            <w:rStyle w:val="14"/>
            <w:rFonts w:hint="default" w:ascii="仿宋_GB2312" w:hAnsi="仿宋_GB2312" w:eastAsia="仿宋_GB2312" w:cs="仿宋_GB2312"/>
            <w:bCs/>
            <w:sz w:val="32"/>
            <w:szCs w:val="32"/>
            <w:lang w:val="en"/>
          </w:rPr>
          <w:t>79</w:t>
        </w:r>
      </w:ins>
      <w:ins w:id="12" w:author="user" w:date="2023-09-11T10:46:48Z">
        <w:r>
          <w:rPr>
            <w:rStyle w:val="14"/>
            <w:rFonts w:hint="default" w:ascii="仿宋_GB2312" w:hAnsi="仿宋_GB2312" w:eastAsia="仿宋_GB2312" w:cs="仿宋_GB2312"/>
            <w:bCs/>
            <w:sz w:val="32"/>
            <w:szCs w:val="32"/>
            <w:lang w:val="en"/>
          </w:rPr>
          <w:t>.5</w:t>
        </w:r>
      </w:ins>
      <w:r>
        <w:rPr>
          <w:rStyle w:val="14"/>
          <w:rFonts w:hint="eastAsia" w:ascii="仿宋_GB2312" w:hAnsi="仿宋_GB2312" w:eastAsia="仿宋_GB2312" w:cs="仿宋_GB2312"/>
          <w:bCs/>
          <w:sz w:val="32"/>
          <w:szCs w:val="32"/>
        </w:rPr>
        <w:t>。</w:t>
      </w:r>
      <w:bookmarkEnd w:id="38"/>
      <w:bookmarkEnd w:id="39"/>
      <w:bookmarkEnd w:id="40"/>
      <w:r>
        <w:rPr>
          <w:rStyle w:val="14"/>
          <w:rFonts w:hint="eastAsia" w:ascii="仿宋_GB2312" w:hAnsi="仿宋_GB2312" w:eastAsia="仿宋_GB2312" w:cs="仿宋_GB2312"/>
          <w:b w:val="0"/>
          <w:bCs/>
          <w:color w:val="000000"/>
          <w:sz w:val="32"/>
          <w:szCs w:val="32"/>
        </w:rPr>
        <w:t>其中：</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outlineLvl w:val="2"/>
        <w:rPr>
          <w:rFonts w:hint="eastAsia" w:ascii="仿宋_GB2312" w:hAnsi="仿宋_GB2312" w:eastAsia="仿宋_GB2312" w:cs="仿宋_GB2312"/>
          <w:sz w:val="32"/>
          <w:szCs w:val="32"/>
        </w:rPr>
      </w:pPr>
      <w:r>
        <w:rPr>
          <w:rStyle w:val="14"/>
          <w:rFonts w:hint="eastAsia" w:ascii="仿宋_GB2312" w:hAnsi="仿宋_GB2312" w:eastAsia="仿宋_GB2312" w:cs="仿宋_GB2312"/>
          <w:b w:val="0"/>
          <w:sz w:val="32"/>
          <w:szCs w:val="32"/>
        </w:rPr>
        <w:t>社会保障和就业支出：民政管理事务</w:t>
      </w:r>
      <w:r>
        <w:rPr>
          <w:rStyle w:val="14"/>
          <w:rFonts w:hint="default" w:ascii="仿宋_GB2312" w:hAnsi="仿宋_GB2312" w:eastAsia="仿宋_GB2312" w:cs="仿宋_GB2312"/>
          <w:b w:val="0"/>
          <w:sz w:val="32"/>
          <w:szCs w:val="32"/>
          <w:lang w:val="en"/>
        </w:rPr>
        <w:t>(</w:t>
      </w:r>
      <w:r>
        <w:rPr>
          <w:rStyle w:val="14"/>
          <w:rFonts w:hint="eastAsia" w:ascii="仿宋_GB2312" w:hAnsi="仿宋_GB2312" w:eastAsia="仿宋_GB2312" w:cs="仿宋_GB2312"/>
          <w:b w:val="0"/>
          <w:sz w:val="32"/>
          <w:szCs w:val="32"/>
          <w:lang w:val="en" w:eastAsia="zh-CN"/>
        </w:rPr>
        <w:t>类</w:t>
      </w:r>
      <w:r>
        <w:rPr>
          <w:rStyle w:val="14"/>
          <w:rFonts w:hint="default" w:ascii="仿宋_GB2312" w:hAnsi="仿宋_GB2312" w:eastAsia="仿宋_GB2312" w:cs="仿宋_GB2312"/>
          <w:b w:val="0"/>
          <w:sz w:val="32"/>
          <w:szCs w:val="32"/>
          <w:lang w:val="en"/>
        </w:rPr>
        <w:t>)</w:t>
      </w:r>
      <w:r>
        <w:rPr>
          <w:rStyle w:val="14"/>
          <w:rFonts w:hint="eastAsia" w:ascii="仿宋_GB2312" w:hAnsi="仿宋_GB2312" w:eastAsia="仿宋_GB2312" w:cs="仿宋_GB2312"/>
          <w:b w:val="0"/>
          <w:sz w:val="32"/>
          <w:szCs w:val="32"/>
          <w:lang w:val="en" w:eastAsia="zh-CN"/>
        </w:rPr>
        <w:t>民政管理事务（款）</w:t>
      </w:r>
      <w:r>
        <w:rPr>
          <w:rStyle w:val="14"/>
          <w:rFonts w:hint="eastAsia" w:ascii="仿宋_GB2312" w:hAnsi="仿宋_GB2312" w:eastAsia="仿宋_GB2312" w:cs="仿宋_GB2312"/>
          <w:b w:val="0"/>
          <w:sz w:val="32"/>
          <w:szCs w:val="32"/>
        </w:rPr>
        <w:t>行政运行</w:t>
      </w:r>
      <w:r>
        <w:rPr>
          <w:rStyle w:val="14"/>
          <w:rFonts w:hint="eastAsia" w:ascii="仿宋_GB2312" w:hAnsi="仿宋_GB2312" w:eastAsia="仿宋_GB2312" w:cs="仿宋_GB2312"/>
          <w:bCs/>
          <w:sz w:val="32"/>
          <w:szCs w:val="32"/>
        </w:rPr>
        <w:t>（项）</w:t>
      </w:r>
      <w:r>
        <w:rPr>
          <w:rFonts w:hint="eastAsia" w:ascii="仿宋_GB2312" w:hAnsi="仿宋_GB2312" w:eastAsia="仿宋_GB2312" w:cs="仿宋_GB2312"/>
          <w:sz w:val="32"/>
          <w:szCs w:val="32"/>
        </w:rPr>
        <w:t>2021年决算数为616.06万元,完成预算</w:t>
      </w:r>
      <w:r>
        <w:rPr>
          <w:rFonts w:hint="eastAsia" w:ascii="仿宋_GB2312" w:hAnsi="仿宋_GB2312" w:eastAsia="仿宋_GB2312" w:cs="仿宋_GB2312"/>
          <w:sz w:val="32"/>
          <w:szCs w:val="32"/>
          <w:lang w:val="en-US" w:eastAsia="zh-CN"/>
        </w:rPr>
        <w:t>95.7</w:t>
      </w:r>
      <w:r>
        <w:rPr>
          <w:rFonts w:hint="eastAsia" w:ascii="仿宋_GB2312" w:hAnsi="仿宋_GB2312" w:eastAsia="仿宋_GB2312" w:cs="仿宋_GB2312"/>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outlineLvl w:val="2"/>
        <w:rPr>
          <w:rFonts w:hint="eastAsia" w:ascii="仿宋_GB2312" w:hAnsi="仿宋_GB2312" w:eastAsia="仿宋_GB2312" w:cs="仿宋_GB2312"/>
          <w:bCs/>
          <w:sz w:val="32"/>
          <w:szCs w:val="32"/>
        </w:rPr>
      </w:pPr>
      <w:r>
        <w:rPr>
          <w:rStyle w:val="14"/>
          <w:rFonts w:hint="eastAsia" w:ascii="仿宋_GB2312" w:hAnsi="仿宋_GB2312" w:eastAsia="仿宋_GB2312" w:cs="仿宋_GB2312"/>
          <w:b w:val="0"/>
          <w:sz w:val="32"/>
          <w:szCs w:val="32"/>
        </w:rPr>
        <w:t>社会保障和就业支出：民政管理事务</w:t>
      </w:r>
      <w:r>
        <w:rPr>
          <w:rStyle w:val="14"/>
          <w:rFonts w:hint="default" w:ascii="仿宋_GB2312" w:hAnsi="仿宋_GB2312" w:eastAsia="仿宋_GB2312" w:cs="仿宋_GB2312"/>
          <w:b w:val="0"/>
          <w:sz w:val="32"/>
          <w:szCs w:val="32"/>
          <w:lang w:val="en"/>
        </w:rPr>
        <w:t>(</w:t>
      </w:r>
      <w:r>
        <w:rPr>
          <w:rStyle w:val="14"/>
          <w:rFonts w:hint="eastAsia" w:ascii="仿宋_GB2312" w:hAnsi="仿宋_GB2312" w:eastAsia="仿宋_GB2312" w:cs="仿宋_GB2312"/>
          <w:b w:val="0"/>
          <w:sz w:val="32"/>
          <w:szCs w:val="32"/>
          <w:lang w:val="en" w:eastAsia="zh-CN"/>
        </w:rPr>
        <w:t>类</w:t>
      </w:r>
      <w:r>
        <w:rPr>
          <w:rStyle w:val="14"/>
          <w:rFonts w:hint="default" w:ascii="仿宋_GB2312" w:hAnsi="仿宋_GB2312" w:eastAsia="仿宋_GB2312" w:cs="仿宋_GB2312"/>
          <w:b w:val="0"/>
          <w:sz w:val="32"/>
          <w:szCs w:val="32"/>
          <w:lang w:val="en"/>
        </w:rPr>
        <w:t>)</w:t>
      </w:r>
      <w:r>
        <w:rPr>
          <w:rStyle w:val="14"/>
          <w:rFonts w:hint="eastAsia" w:ascii="仿宋_GB2312" w:hAnsi="仿宋_GB2312" w:eastAsia="仿宋_GB2312" w:cs="仿宋_GB2312"/>
          <w:b w:val="0"/>
          <w:sz w:val="32"/>
          <w:szCs w:val="32"/>
          <w:lang w:val="en" w:eastAsia="zh-CN"/>
        </w:rPr>
        <w:t>民政管理事务（款）</w:t>
      </w:r>
      <w:r>
        <w:rPr>
          <w:rFonts w:hint="eastAsia" w:ascii="仿宋_GB2312" w:hAnsi="仿宋_GB2312" w:eastAsia="仿宋_GB2312" w:cs="仿宋_GB2312"/>
          <w:sz w:val="32"/>
          <w:szCs w:val="32"/>
        </w:rPr>
        <w:t>机关服务208</w:t>
      </w:r>
      <w:r>
        <w:rPr>
          <w:rStyle w:val="14"/>
          <w:rFonts w:hint="eastAsia" w:ascii="仿宋_GB2312" w:hAnsi="仿宋_GB2312" w:eastAsia="仿宋_GB2312" w:cs="仿宋_GB2312"/>
          <w:bCs/>
          <w:sz w:val="32"/>
          <w:szCs w:val="32"/>
        </w:rPr>
        <w:t>（项）</w:t>
      </w:r>
      <w:r>
        <w:rPr>
          <w:rFonts w:hint="eastAsia" w:ascii="仿宋_GB2312" w:hAnsi="仿宋_GB2312" w:eastAsia="仿宋_GB2312" w:cs="仿宋_GB2312"/>
          <w:sz w:val="32"/>
          <w:szCs w:val="32"/>
        </w:rPr>
        <w:t>2021年决算数为100.16万元，完成预算100%；</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outlineLvl w:val="2"/>
        <w:rPr>
          <w:rFonts w:hint="eastAsia" w:ascii="仿宋_GB2312" w:hAnsi="仿宋_GB2312" w:eastAsia="仿宋_GB2312" w:cs="仿宋_GB2312"/>
          <w:bCs/>
          <w:sz w:val="32"/>
          <w:szCs w:val="32"/>
        </w:rPr>
      </w:pPr>
      <w:r>
        <w:rPr>
          <w:rStyle w:val="14"/>
          <w:rFonts w:hint="eastAsia" w:ascii="仿宋_GB2312" w:hAnsi="仿宋_GB2312" w:eastAsia="仿宋_GB2312" w:cs="仿宋_GB2312"/>
          <w:b w:val="0"/>
          <w:sz w:val="32"/>
          <w:szCs w:val="32"/>
        </w:rPr>
        <w:t>社会保障和就业支出：民政管理事务</w:t>
      </w:r>
      <w:r>
        <w:rPr>
          <w:rStyle w:val="14"/>
          <w:rFonts w:hint="default" w:ascii="仿宋_GB2312" w:hAnsi="仿宋_GB2312" w:eastAsia="仿宋_GB2312" w:cs="仿宋_GB2312"/>
          <w:b w:val="0"/>
          <w:sz w:val="32"/>
          <w:szCs w:val="32"/>
          <w:lang w:val="en"/>
        </w:rPr>
        <w:t>(</w:t>
      </w:r>
      <w:r>
        <w:rPr>
          <w:rStyle w:val="14"/>
          <w:rFonts w:hint="eastAsia" w:ascii="仿宋_GB2312" w:hAnsi="仿宋_GB2312" w:eastAsia="仿宋_GB2312" w:cs="仿宋_GB2312"/>
          <w:b w:val="0"/>
          <w:sz w:val="32"/>
          <w:szCs w:val="32"/>
          <w:lang w:val="en" w:eastAsia="zh-CN"/>
        </w:rPr>
        <w:t>类</w:t>
      </w:r>
      <w:r>
        <w:rPr>
          <w:rStyle w:val="14"/>
          <w:rFonts w:hint="default" w:ascii="仿宋_GB2312" w:hAnsi="仿宋_GB2312" w:eastAsia="仿宋_GB2312" w:cs="仿宋_GB2312"/>
          <w:b w:val="0"/>
          <w:sz w:val="32"/>
          <w:szCs w:val="32"/>
          <w:lang w:val="en"/>
        </w:rPr>
        <w:t>)</w:t>
      </w:r>
      <w:r>
        <w:rPr>
          <w:rStyle w:val="14"/>
          <w:rFonts w:hint="eastAsia" w:ascii="仿宋_GB2312" w:hAnsi="仿宋_GB2312" w:eastAsia="仿宋_GB2312" w:cs="仿宋_GB2312"/>
          <w:b w:val="0"/>
          <w:sz w:val="32"/>
          <w:szCs w:val="32"/>
          <w:lang w:val="en" w:eastAsia="zh-CN"/>
        </w:rPr>
        <w:t>民政管理事务（款）</w:t>
      </w:r>
      <w:r>
        <w:rPr>
          <w:rStyle w:val="14"/>
          <w:rFonts w:hint="eastAsia" w:ascii="仿宋_GB2312" w:hAnsi="仿宋_GB2312" w:eastAsia="仿宋_GB2312" w:cs="仿宋_GB2312"/>
          <w:b w:val="0"/>
          <w:sz w:val="32"/>
          <w:szCs w:val="32"/>
        </w:rPr>
        <w:t>社会组织管理</w:t>
      </w:r>
      <w:r>
        <w:rPr>
          <w:rStyle w:val="14"/>
          <w:rFonts w:hint="eastAsia" w:ascii="仿宋_GB2312" w:hAnsi="仿宋_GB2312" w:eastAsia="仿宋_GB2312" w:cs="仿宋_GB2312"/>
          <w:bCs/>
          <w:sz w:val="32"/>
          <w:szCs w:val="32"/>
        </w:rPr>
        <w:t>（项）</w:t>
      </w:r>
      <w:r>
        <w:rPr>
          <w:rFonts w:hint="eastAsia" w:ascii="仿宋_GB2312" w:hAnsi="仿宋_GB2312" w:eastAsia="仿宋_GB2312" w:cs="仿宋_GB2312"/>
          <w:sz w:val="32"/>
          <w:szCs w:val="32"/>
        </w:rPr>
        <w:t>2021年决算数为28.08万元,完成预算100%；</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outlineLvl w:val="2"/>
        <w:rPr>
          <w:rFonts w:hint="eastAsia" w:ascii="仿宋_GB2312" w:hAnsi="仿宋_GB2312" w:eastAsia="仿宋_GB2312" w:cs="仿宋_GB2312"/>
          <w:bCs/>
          <w:sz w:val="32"/>
          <w:szCs w:val="32"/>
        </w:rPr>
      </w:pPr>
      <w:r>
        <w:rPr>
          <w:rStyle w:val="14"/>
          <w:rFonts w:hint="eastAsia" w:ascii="仿宋_GB2312" w:hAnsi="仿宋_GB2312" w:eastAsia="仿宋_GB2312" w:cs="仿宋_GB2312"/>
          <w:b w:val="0"/>
          <w:sz w:val="32"/>
          <w:szCs w:val="32"/>
        </w:rPr>
        <w:t>社会保障和就业支出：民政管理事务</w:t>
      </w:r>
      <w:r>
        <w:rPr>
          <w:rStyle w:val="14"/>
          <w:rFonts w:hint="default" w:ascii="仿宋_GB2312" w:hAnsi="仿宋_GB2312" w:eastAsia="仿宋_GB2312" w:cs="仿宋_GB2312"/>
          <w:b w:val="0"/>
          <w:sz w:val="32"/>
          <w:szCs w:val="32"/>
          <w:lang w:val="en"/>
        </w:rPr>
        <w:t>(</w:t>
      </w:r>
      <w:r>
        <w:rPr>
          <w:rStyle w:val="14"/>
          <w:rFonts w:hint="eastAsia" w:ascii="仿宋_GB2312" w:hAnsi="仿宋_GB2312" w:eastAsia="仿宋_GB2312" w:cs="仿宋_GB2312"/>
          <w:b w:val="0"/>
          <w:sz w:val="32"/>
          <w:szCs w:val="32"/>
          <w:lang w:val="en" w:eastAsia="zh-CN"/>
        </w:rPr>
        <w:t>类</w:t>
      </w:r>
      <w:r>
        <w:rPr>
          <w:rStyle w:val="14"/>
          <w:rFonts w:hint="default" w:ascii="仿宋_GB2312" w:hAnsi="仿宋_GB2312" w:eastAsia="仿宋_GB2312" w:cs="仿宋_GB2312"/>
          <w:b w:val="0"/>
          <w:sz w:val="32"/>
          <w:szCs w:val="32"/>
          <w:lang w:val="en"/>
        </w:rPr>
        <w:t>)</w:t>
      </w:r>
      <w:r>
        <w:rPr>
          <w:rStyle w:val="14"/>
          <w:rFonts w:hint="eastAsia" w:ascii="仿宋_GB2312" w:hAnsi="仿宋_GB2312" w:eastAsia="仿宋_GB2312" w:cs="仿宋_GB2312"/>
          <w:b w:val="0"/>
          <w:sz w:val="32"/>
          <w:szCs w:val="32"/>
          <w:lang w:val="en" w:eastAsia="zh-CN"/>
        </w:rPr>
        <w:t>民政管理事务（款）</w:t>
      </w:r>
      <w:r>
        <w:rPr>
          <w:rStyle w:val="14"/>
          <w:rFonts w:hint="eastAsia" w:ascii="仿宋_GB2312" w:hAnsi="仿宋_GB2312" w:eastAsia="仿宋_GB2312" w:cs="仿宋_GB2312"/>
          <w:b w:val="0"/>
          <w:sz w:val="32"/>
          <w:szCs w:val="32"/>
        </w:rPr>
        <w:t>行政区划和地名管理</w:t>
      </w:r>
      <w:r>
        <w:rPr>
          <w:rStyle w:val="14"/>
          <w:rFonts w:hint="eastAsia" w:ascii="仿宋_GB2312" w:hAnsi="仿宋_GB2312" w:eastAsia="仿宋_GB2312" w:cs="仿宋_GB2312"/>
          <w:bCs/>
          <w:sz w:val="32"/>
          <w:szCs w:val="32"/>
        </w:rPr>
        <w:t>（项）</w:t>
      </w:r>
      <w:r>
        <w:rPr>
          <w:rFonts w:hint="eastAsia" w:ascii="仿宋_GB2312" w:hAnsi="仿宋_GB2312" w:eastAsia="仿宋_GB2312" w:cs="仿宋_GB2312"/>
          <w:sz w:val="32"/>
          <w:szCs w:val="32"/>
        </w:rPr>
        <w:t>2021年决算数为5.1万元,完成预算100%；</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outlineLvl w:val="2"/>
        <w:rPr>
          <w:rFonts w:hint="eastAsia" w:ascii="仿宋_GB2312" w:hAnsi="仿宋_GB2312" w:eastAsia="仿宋_GB2312" w:cs="仿宋_GB2312"/>
          <w:bCs/>
          <w:sz w:val="32"/>
          <w:szCs w:val="32"/>
        </w:rPr>
      </w:pPr>
      <w:r>
        <w:rPr>
          <w:rStyle w:val="14"/>
          <w:rFonts w:hint="eastAsia" w:ascii="仿宋_GB2312" w:hAnsi="仿宋_GB2312" w:eastAsia="仿宋_GB2312" w:cs="仿宋_GB2312"/>
          <w:b w:val="0"/>
          <w:sz w:val="32"/>
          <w:szCs w:val="32"/>
        </w:rPr>
        <w:t>社会保障和就业支出：民政管理事务</w:t>
      </w:r>
      <w:r>
        <w:rPr>
          <w:rStyle w:val="14"/>
          <w:rFonts w:hint="default" w:ascii="仿宋_GB2312" w:hAnsi="仿宋_GB2312" w:eastAsia="仿宋_GB2312" w:cs="仿宋_GB2312"/>
          <w:b w:val="0"/>
          <w:sz w:val="32"/>
          <w:szCs w:val="32"/>
          <w:lang w:val="en"/>
        </w:rPr>
        <w:t>(</w:t>
      </w:r>
      <w:r>
        <w:rPr>
          <w:rStyle w:val="14"/>
          <w:rFonts w:hint="eastAsia" w:ascii="仿宋_GB2312" w:hAnsi="仿宋_GB2312" w:eastAsia="仿宋_GB2312" w:cs="仿宋_GB2312"/>
          <w:b w:val="0"/>
          <w:sz w:val="32"/>
          <w:szCs w:val="32"/>
          <w:lang w:val="en" w:eastAsia="zh-CN"/>
        </w:rPr>
        <w:t>类</w:t>
      </w:r>
      <w:r>
        <w:rPr>
          <w:rStyle w:val="14"/>
          <w:rFonts w:hint="default" w:ascii="仿宋_GB2312" w:hAnsi="仿宋_GB2312" w:eastAsia="仿宋_GB2312" w:cs="仿宋_GB2312"/>
          <w:b w:val="0"/>
          <w:sz w:val="32"/>
          <w:szCs w:val="32"/>
          <w:lang w:val="en"/>
        </w:rPr>
        <w:t>)</w:t>
      </w:r>
      <w:r>
        <w:rPr>
          <w:rStyle w:val="14"/>
          <w:rFonts w:hint="eastAsia" w:ascii="仿宋_GB2312" w:hAnsi="仿宋_GB2312" w:eastAsia="仿宋_GB2312" w:cs="仿宋_GB2312"/>
          <w:b w:val="0"/>
          <w:sz w:val="32"/>
          <w:szCs w:val="32"/>
          <w:lang w:val="en" w:eastAsia="zh-CN"/>
        </w:rPr>
        <w:t>民政管理事务（款）</w:t>
      </w:r>
      <w:r>
        <w:rPr>
          <w:rFonts w:hint="eastAsia" w:ascii="仿宋_GB2312" w:hAnsi="仿宋_GB2312" w:eastAsia="仿宋_GB2312" w:cs="仿宋_GB2312"/>
          <w:sz w:val="32"/>
          <w:szCs w:val="32"/>
        </w:rPr>
        <w:t>基层政权建设和社区治理</w:t>
      </w:r>
      <w:r>
        <w:rPr>
          <w:rStyle w:val="14"/>
          <w:rFonts w:hint="eastAsia" w:ascii="仿宋_GB2312" w:hAnsi="仿宋_GB2312" w:eastAsia="仿宋_GB2312" w:cs="仿宋_GB2312"/>
          <w:bCs/>
          <w:sz w:val="32"/>
          <w:szCs w:val="32"/>
        </w:rPr>
        <w:t>（项）</w:t>
      </w:r>
      <w:r>
        <w:rPr>
          <w:rFonts w:hint="eastAsia" w:ascii="仿宋_GB2312" w:hAnsi="仿宋_GB2312" w:eastAsia="仿宋_GB2312" w:cs="仿宋_GB2312"/>
          <w:sz w:val="32"/>
          <w:szCs w:val="32"/>
        </w:rPr>
        <w:t>2021年决算数12.94万元，完成预算100%；</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textAlignment w:val="auto"/>
        <w:outlineLvl w:val="2"/>
        <w:rPr>
          <w:rFonts w:hint="eastAsia" w:ascii="仿宋_GB2312" w:hAnsi="仿宋_GB2312" w:eastAsia="仿宋_GB2312" w:cs="仿宋_GB2312"/>
          <w:bCs/>
          <w:sz w:val="32"/>
          <w:szCs w:val="32"/>
        </w:rPr>
      </w:pPr>
      <w:r>
        <w:rPr>
          <w:rStyle w:val="14"/>
          <w:rFonts w:hint="eastAsia" w:ascii="仿宋_GB2312" w:hAnsi="仿宋_GB2312" w:eastAsia="仿宋_GB2312" w:cs="仿宋_GB2312"/>
          <w:b w:val="0"/>
          <w:sz w:val="32"/>
          <w:szCs w:val="32"/>
        </w:rPr>
        <w:t>社会保障和就业支出：民政管理事务</w:t>
      </w:r>
      <w:r>
        <w:rPr>
          <w:rStyle w:val="14"/>
          <w:rFonts w:hint="default" w:ascii="仿宋_GB2312" w:hAnsi="仿宋_GB2312" w:eastAsia="仿宋_GB2312" w:cs="仿宋_GB2312"/>
          <w:b w:val="0"/>
          <w:sz w:val="32"/>
          <w:szCs w:val="32"/>
          <w:lang w:val="en"/>
        </w:rPr>
        <w:t>(</w:t>
      </w:r>
      <w:r>
        <w:rPr>
          <w:rStyle w:val="14"/>
          <w:rFonts w:hint="eastAsia" w:ascii="仿宋_GB2312" w:hAnsi="仿宋_GB2312" w:eastAsia="仿宋_GB2312" w:cs="仿宋_GB2312"/>
          <w:b w:val="0"/>
          <w:sz w:val="32"/>
          <w:szCs w:val="32"/>
          <w:lang w:val="en" w:eastAsia="zh-CN"/>
        </w:rPr>
        <w:t>类</w:t>
      </w:r>
      <w:r>
        <w:rPr>
          <w:rStyle w:val="14"/>
          <w:rFonts w:hint="default" w:ascii="仿宋_GB2312" w:hAnsi="仿宋_GB2312" w:eastAsia="仿宋_GB2312" w:cs="仿宋_GB2312"/>
          <w:b w:val="0"/>
          <w:sz w:val="32"/>
          <w:szCs w:val="32"/>
          <w:lang w:val="en"/>
        </w:rPr>
        <w:t>)</w:t>
      </w:r>
      <w:r>
        <w:rPr>
          <w:rStyle w:val="14"/>
          <w:rFonts w:hint="eastAsia" w:ascii="仿宋_GB2312" w:hAnsi="仿宋_GB2312" w:eastAsia="仿宋_GB2312" w:cs="仿宋_GB2312"/>
          <w:b w:val="0"/>
          <w:sz w:val="32"/>
          <w:szCs w:val="32"/>
          <w:lang w:val="en" w:eastAsia="zh-CN"/>
        </w:rPr>
        <w:t>民政管理事务（款）</w:t>
      </w:r>
      <w:r>
        <w:rPr>
          <w:rStyle w:val="14"/>
          <w:rFonts w:hint="eastAsia" w:ascii="仿宋_GB2312" w:hAnsi="仿宋_GB2312" w:eastAsia="仿宋_GB2312" w:cs="仿宋_GB2312"/>
          <w:b w:val="0"/>
          <w:sz w:val="32"/>
          <w:szCs w:val="32"/>
        </w:rPr>
        <w:t>其他民政管理事务支出</w:t>
      </w:r>
      <w:r>
        <w:rPr>
          <w:rStyle w:val="14"/>
          <w:rFonts w:hint="eastAsia" w:ascii="仿宋_GB2312" w:hAnsi="仿宋_GB2312" w:eastAsia="仿宋_GB2312" w:cs="仿宋_GB2312"/>
          <w:bCs/>
          <w:sz w:val="32"/>
          <w:szCs w:val="32"/>
        </w:rPr>
        <w:t>（项）</w:t>
      </w:r>
      <w:r>
        <w:rPr>
          <w:rFonts w:hint="eastAsia" w:ascii="仿宋_GB2312" w:hAnsi="仿宋_GB2312" w:eastAsia="仿宋_GB2312" w:cs="仿宋_GB2312"/>
          <w:sz w:val="32"/>
          <w:szCs w:val="32"/>
        </w:rPr>
        <w:t>2021年决算数为70.16万元,完成预算</w:t>
      </w:r>
      <w:r>
        <w:rPr>
          <w:rFonts w:hint="eastAsia" w:ascii="仿宋_GB2312" w:hAnsi="仿宋_GB2312" w:eastAsia="仿宋_GB2312" w:cs="仿宋_GB2312"/>
          <w:sz w:val="32"/>
          <w:szCs w:val="32"/>
          <w:lang w:val="en-US" w:eastAsia="zh-CN"/>
        </w:rPr>
        <w:t>56</w:t>
      </w:r>
      <w:r>
        <w:rPr>
          <w:rFonts w:hint="eastAsia" w:ascii="仿宋_GB2312" w:hAnsi="仿宋_GB2312" w:eastAsia="仿宋_GB2312" w:cs="仿宋_GB2312"/>
          <w:sz w:val="32"/>
          <w:szCs w:val="32"/>
        </w:rPr>
        <w:t>%</w:t>
      </w:r>
      <w:ins w:id="13" w:author="user" w:date="2023-09-11T10:48:43Z">
        <w:r>
          <w:rPr>
            <w:rFonts w:hint="default" w:ascii="仿宋_GB2312" w:hAnsi="仿宋_GB2312" w:eastAsia="仿宋_GB2312" w:cs="仿宋_GB2312"/>
            <w:sz w:val="32"/>
            <w:szCs w:val="32"/>
            <w:lang w:val="en"/>
          </w:rPr>
          <w:t>,</w:t>
        </w:r>
      </w:ins>
      <w:ins w:id="14" w:author="user" w:date="2023-09-11T10:48:49Z">
        <w:r>
          <w:rPr>
            <w:rFonts w:hint="eastAsia" w:ascii="仿宋_GB2312" w:hAnsi="仿宋_GB2312" w:eastAsia="仿宋_GB2312" w:cs="仿宋_GB2312"/>
            <w:sz w:val="32"/>
            <w:szCs w:val="32"/>
            <w:lang w:val="en" w:eastAsia="zh-CN"/>
          </w:rPr>
          <w:t>主要</w:t>
        </w:r>
      </w:ins>
      <w:ins w:id="15" w:author="user" w:date="2023-09-11T10:48:50Z">
        <w:r>
          <w:rPr>
            <w:rFonts w:hint="eastAsia" w:ascii="仿宋_GB2312" w:hAnsi="仿宋_GB2312" w:eastAsia="仿宋_GB2312" w:cs="仿宋_GB2312"/>
            <w:sz w:val="32"/>
            <w:szCs w:val="32"/>
            <w:lang w:val="en" w:eastAsia="zh-CN"/>
          </w:rPr>
          <w:t>是</w:t>
        </w:r>
      </w:ins>
      <w:ins w:id="16" w:author="user" w:date="2023-09-11T10:48:57Z">
        <w:r>
          <w:rPr>
            <w:rFonts w:hint="eastAsia" w:ascii="仿宋_GB2312" w:hAnsi="仿宋_GB2312" w:eastAsia="仿宋_GB2312" w:cs="仿宋_GB2312"/>
            <w:sz w:val="32"/>
            <w:szCs w:val="32"/>
            <w:lang w:val="en" w:eastAsia="zh-CN"/>
          </w:rPr>
          <w:t>救助</w:t>
        </w:r>
      </w:ins>
      <w:ins w:id="17" w:author="user" w:date="2023-09-11T10:48:58Z">
        <w:r>
          <w:rPr>
            <w:rFonts w:hint="eastAsia" w:ascii="仿宋_GB2312" w:hAnsi="仿宋_GB2312" w:eastAsia="仿宋_GB2312" w:cs="仿宋_GB2312"/>
            <w:sz w:val="32"/>
            <w:szCs w:val="32"/>
            <w:lang w:val="en" w:eastAsia="zh-CN"/>
          </w:rPr>
          <w:t>工作</w:t>
        </w:r>
      </w:ins>
      <w:ins w:id="18" w:author="user" w:date="2023-09-11T10:48:59Z">
        <w:r>
          <w:rPr>
            <w:rFonts w:hint="eastAsia" w:ascii="仿宋_GB2312" w:hAnsi="仿宋_GB2312" w:eastAsia="仿宋_GB2312" w:cs="仿宋_GB2312"/>
            <w:sz w:val="32"/>
            <w:szCs w:val="32"/>
            <w:lang w:val="en" w:eastAsia="zh-CN"/>
          </w:rPr>
          <w:t>经</w:t>
        </w:r>
      </w:ins>
      <w:ins w:id="19" w:author="user" w:date="2023-09-11T10:49:00Z">
        <w:r>
          <w:rPr>
            <w:rFonts w:hint="eastAsia" w:ascii="仿宋_GB2312" w:hAnsi="仿宋_GB2312" w:eastAsia="仿宋_GB2312" w:cs="仿宋_GB2312"/>
            <w:sz w:val="32"/>
            <w:szCs w:val="32"/>
            <w:lang w:val="en" w:eastAsia="zh-CN"/>
          </w:rPr>
          <w:t>费</w:t>
        </w:r>
      </w:ins>
      <w:ins w:id="20" w:author="user" w:date="2023-09-11T10:49:01Z">
        <w:r>
          <w:rPr>
            <w:rFonts w:hint="eastAsia" w:ascii="仿宋_GB2312" w:hAnsi="仿宋_GB2312" w:eastAsia="仿宋_GB2312" w:cs="仿宋_GB2312"/>
            <w:sz w:val="32"/>
            <w:szCs w:val="32"/>
            <w:lang w:val="en" w:eastAsia="zh-CN"/>
          </w:rPr>
          <w:t>是</w:t>
        </w:r>
      </w:ins>
      <w:ins w:id="21" w:author="user" w:date="2023-09-11T10:49:36Z">
        <w:r>
          <w:rPr>
            <w:rFonts w:hint="eastAsia" w:ascii="仿宋_GB2312" w:hAnsi="仿宋_GB2312" w:eastAsia="仿宋_GB2312" w:cs="仿宋_GB2312"/>
            <w:sz w:val="32"/>
            <w:szCs w:val="32"/>
            <w:lang w:val="en" w:eastAsia="zh-CN"/>
          </w:rPr>
          <w:t>连续</w:t>
        </w:r>
      </w:ins>
      <w:ins w:id="22" w:author="user" w:date="2023-09-11T10:49:37Z">
        <w:r>
          <w:rPr>
            <w:rFonts w:hint="eastAsia" w:ascii="仿宋_GB2312" w:hAnsi="仿宋_GB2312" w:eastAsia="仿宋_GB2312" w:cs="仿宋_GB2312"/>
            <w:sz w:val="32"/>
            <w:szCs w:val="32"/>
            <w:lang w:val="en" w:eastAsia="zh-CN"/>
          </w:rPr>
          <w:t>性</w:t>
        </w:r>
      </w:ins>
      <w:ins w:id="23" w:author="user" w:date="2023-09-11T10:49:38Z">
        <w:r>
          <w:rPr>
            <w:rFonts w:hint="eastAsia" w:ascii="仿宋_GB2312" w:hAnsi="仿宋_GB2312" w:eastAsia="仿宋_GB2312" w:cs="仿宋_GB2312"/>
            <w:sz w:val="32"/>
            <w:szCs w:val="32"/>
            <w:lang w:val="en" w:eastAsia="zh-CN"/>
          </w:rPr>
          <w:t>项目</w:t>
        </w:r>
      </w:ins>
      <w:ins w:id="24" w:author="user" w:date="2023-09-11T10:49:40Z">
        <w:r>
          <w:rPr>
            <w:rFonts w:hint="eastAsia" w:ascii="仿宋_GB2312" w:hAnsi="仿宋_GB2312" w:eastAsia="仿宋_GB2312" w:cs="仿宋_GB2312"/>
            <w:sz w:val="32"/>
            <w:szCs w:val="32"/>
            <w:lang w:val="en" w:eastAsia="zh-CN"/>
          </w:rPr>
          <w:t>，</w:t>
        </w:r>
      </w:ins>
      <w:ins w:id="25" w:author="user" w:date="2023-09-11T10:49:44Z">
        <w:r>
          <w:rPr>
            <w:rFonts w:hint="eastAsia" w:ascii="仿宋_GB2312" w:hAnsi="仿宋_GB2312" w:eastAsia="仿宋_GB2312" w:cs="仿宋_GB2312"/>
            <w:sz w:val="32"/>
            <w:szCs w:val="32"/>
            <w:lang w:val="en" w:eastAsia="zh-CN"/>
          </w:rPr>
          <w:t>都</w:t>
        </w:r>
      </w:ins>
      <w:ins w:id="26" w:author="user" w:date="2023-09-11T10:49:45Z">
        <w:r>
          <w:rPr>
            <w:rFonts w:hint="eastAsia" w:ascii="仿宋_GB2312" w:hAnsi="仿宋_GB2312" w:eastAsia="仿宋_GB2312" w:cs="仿宋_GB2312"/>
            <w:sz w:val="32"/>
            <w:szCs w:val="32"/>
            <w:lang w:val="en" w:eastAsia="zh-CN"/>
          </w:rPr>
          <w:t>是</w:t>
        </w:r>
      </w:ins>
      <w:ins w:id="27" w:author="user" w:date="2023-09-11T10:49:18Z">
        <w:r>
          <w:rPr>
            <w:rFonts w:hint="eastAsia" w:ascii="仿宋_GB2312" w:hAnsi="仿宋_GB2312" w:eastAsia="仿宋_GB2312" w:cs="仿宋_GB2312"/>
            <w:sz w:val="32"/>
            <w:szCs w:val="32"/>
            <w:lang w:val="en" w:eastAsia="zh-CN"/>
          </w:rPr>
          <w:t>下</w:t>
        </w:r>
      </w:ins>
      <w:ins w:id="28" w:author="user" w:date="2023-09-11T10:49:20Z">
        <w:r>
          <w:rPr>
            <w:rFonts w:hint="eastAsia" w:ascii="仿宋_GB2312" w:hAnsi="仿宋_GB2312" w:eastAsia="仿宋_GB2312" w:cs="仿宋_GB2312"/>
            <w:sz w:val="32"/>
            <w:szCs w:val="32"/>
            <w:lang w:val="en" w:eastAsia="zh-CN"/>
          </w:rPr>
          <w:t>半年</w:t>
        </w:r>
      </w:ins>
      <w:ins w:id="29" w:author="user" w:date="2023-09-11T10:49:24Z">
        <w:r>
          <w:rPr>
            <w:rFonts w:hint="eastAsia" w:ascii="仿宋_GB2312" w:hAnsi="仿宋_GB2312" w:eastAsia="仿宋_GB2312" w:cs="仿宋_GB2312"/>
            <w:sz w:val="32"/>
            <w:szCs w:val="32"/>
            <w:lang w:val="en" w:eastAsia="zh-CN"/>
          </w:rPr>
          <w:t>下达</w:t>
        </w:r>
      </w:ins>
      <w:ins w:id="30" w:author="user" w:date="2023-09-11T10:49:26Z">
        <w:r>
          <w:rPr>
            <w:rFonts w:hint="eastAsia" w:ascii="仿宋_GB2312" w:hAnsi="仿宋_GB2312" w:eastAsia="仿宋_GB2312" w:cs="仿宋_GB2312"/>
            <w:sz w:val="32"/>
            <w:szCs w:val="32"/>
            <w:lang w:val="en" w:eastAsia="zh-CN"/>
          </w:rPr>
          <w:t>，</w:t>
        </w:r>
      </w:ins>
      <w:ins w:id="31" w:author="user" w:date="2023-09-11T10:49:50Z">
        <w:r>
          <w:rPr>
            <w:rFonts w:hint="eastAsia" w:ascii="仿宋_GB2312" w:hAnsi="仿宋_GB2312" w:eastAsia="仿宋_GB2312" w:cs="仿宋_GB2312"/>
            <w:sz w:val="32"/>
            <w:szCs w:val="32"/>
            <w:lang w:val="en" w:eastAsia="zh-CN"/>
          </w:rPr>
          <w:t>故</w:t>
        </w:r>
      </w:ins>
      <w:ins w:id="32" w:author="user" w:date="2023-09-11T10:50:33Z">
        <w:r>
          <w:rPr>
            <w:rFonts w:hint="eastAsia" w:ascii="仿宋_GB2312" w:hAnsi="仿宋_GB2312" w:eastAsia="仿宋_GB2312" w:cs="仿宋_GB2312"/>
            <w:sz w:val="32"/>
            <w:szCs w:val="32"/>
            <w:lang w:val="en" w:eastAsia="zh-CN"/>
          </w:rPr>
          <w:t>支付</w:t>
        </w:r>
      </w:ins>
      <w:ins w:id="33" w:author="user" w:date="2023-09-11T10:50:46Z">
        <w:r>
          <w:rPr>
            <w:rFonts w:hint="eastAsia" w:ascii="仿宋_GB2312" w:hAnsi="仿宋_GB2312" w:eastAsia="仿宋_GB2312" w:cs="仿宋_GB2312"/>
            <w:sz w:val="32"/>
            <w:szCs w:val="32"/>
            <w:lang w:val="en" w:eastAsia="zh-CN"/>
          </w:rPr>
          <w:t>迟缓</w:t>
        </w:r>
      </w:ins>
      <w:ins w:id="34" w:author="user" w:date="2023-09-11T10:50:26Z">
        <w:r>
          <w:rPr>
            <w:rFonts w:hint="eastAsia" w:ascii="仿宋_GB2312" w:hAnsi="仿宋_GB2312" w:eastAsia="仿宋_GB2312" w:cs="仿宋_GB2312"/>
            <w:sz w:val="32"/>
            <w:szCs w:val="32"/>
            <w:lang w:val="en" w:eastAsia="zh-CN"/>
          </w:rPr>
          <w:t>结转</w:t>
        </w:r>
      </w:ins>
      <w:ins w:id="35" w:author="user" w:date="2023-09-11T10:50:56Z">
        <w:r>
          <w:rPr>
            <w:rFonts w:hint="eastAsia" w:ascii="仿宋_GB2312" w:hAnsi="仿宋_GB2312" w:eastAsia="仿宋_GB2312" w:cs="仿宋_GB2312"/>
            <w:sz w:val="32"/>
            <w:szCs w:val="32"/>
            <w:lang w:val="en" w:eastAsia="zh-CN"/>
          </w:rPr>
          <w:t>到</w:t>
        </w:r>
      </w:ins>
      <w:ins w:id="36" w:author="user" w:date="2023-09-11T10:50:58Z">
        <w:r>
          <w:rPr>
            <w:rFonts w:hint="eastAsia" w:ascii="仿宋_GB2312" w:hAnsi="仿宋_GB2312" w:eastAsia="仿宋_GB2312" w:cs="仿宋_GB2312"/>
            <w:sz w:val="32"/>
            <w:szCs w:val="32"/>
            <w:lang w:val="en" w:eastAsia="zh-CN"/>
          </w:rPr>
          <w:t>下年</w:t>
        </w:r>
      </w:ins>
      <w:ins w:id="37" w:author="user" w:date="2023-09-11T10:51:01Z">
        <w:r>
          <w:rPr>
            <w:rFonts w:hint="eastAsia" w:ascii="仿宋_GB2312" w:hAnsi="仿宋_GB2312" w:eastAsia="仿宋_GB2312" w:cs="仿宋_GB2312"/>
            <w:sz w:val="32"/>
            <w:szCs w:val="32"/>
            <w:lang w:val="en" w:eastAsia="zh-CN"/>
          </w:rPr>
          <w:t>，</w:t>
        </w:r>
      </w:ins>
      <w:ins w:id="38" w:author="user" w:date="2023-09-11T10:51:03Z">
        <w:r>
          <w:rPr>
            <w:rFonts w:hint="eastAsia" w:ascii="仿宋_GB2312" w:hAnsi="仿宋_GB2312" w:eastAsia="仿宋_GB2312" w:cs="仿宋_GB2312"/>
            <w:sz w:val="32"/>
            <w:szCs w:val="32"/>
            <w:lang w:val="en" w:eastAsia="zh-CN"/>
          </w:rPr>
          <w:t>由</w:t>
        </w:r>
      </w:ins>
      <w:ins w:id="39" w:author="user" w:date="2023-09-11T10:51:04Z">
        <w:r>
          <w:rPr>
            <w:rFonts w:hint="eastAsia" w:ascii="仿宋_GB2312" w:hAnsi="仿宋_GB2312" w:eastAsia="仿宋_GB2312" w:cs="仿宋_GB2312"/>
            <w:sz w:val="32"/>
            <w:szCs w:val="32"/>
            <w:lang w:val="en" w:eastAsia="zh-CN"/>
          </w:rPr>
          <w:t>下</w:t>
        </w:r>
      </w:ins>
      <w:ins w:id="40" w:author="user" w:date="2023-09-11T10:51:05Z">
        <w:r>
          <w:rPr>
            <w:rFonts w:hint="eastAsia" w:ascii="仿宋_GB2312" w:hAnsi="仿宋_GB2312" w:eastAsia="仿宋_GB2312" w:cs="仿宋_GB2312"/>
            <w:sz w:val="32"/>
            <w:szCs w:val="32"/>
            <w:lang w:val="en" w:eastAsia="zh-CN"/>
          </w:rPr>
          <w:t>年</w:t>
        </w:r>
      </w:ins>
      <w:ins w:id="41" w:author="user" w:date="2023-09-11T10:51:06Z">
        <w:r>
          <w:rPr>
            <w:rFonts w:hint="eastAsia" w:ascii="仿宋_GB2312" w:hAnsi="仿宋_GB2312" w:eastAsia="仿宋_GB2312" w:cs="仿宋_GB2312"/>
            <w:sz w:val="32"/>
            <w:szCs w:val="32"/>
            <w:lang w:val="en" w:eastAsia="zh-CN"/>
          </w:rPr>
          <w:t>的</w:t>
        </w:r>
      </w:ins>
      <w:ins w:id="42" w:author="user" w:date="2023-09-11T10:51:07Z">
        <w:r>
          <w:rPr>
            <w:rFonts w:hint="eastAsia" w:ascii="仿宋_GB2312" w:hAnsi="仿宋_GB2312" w:eastAsia="仿宋_GB2312" w:cs="仿宋_GB2312"/>
            <w:sz w:val="32"/>
            <w:szCs w:val="32"/>
            <w:lang w:val="en" w:eastAsia="zh-CN"/>
          </w:rPr>
          <w:t>上</w:t>
        </w:r>
      </w:ins>
      <w:ins w:id="43" w:author="user" w:date="2023-09-11T10:51:09Z">
        <w:r>
          <w:rPr>
            <w:rFonts w:hint="eastAsia" w:ascii="仿宋_GB2312" w:hAnsi="仿宋_GB2312" w:eastAsia="仿宋_GB2312" w:cs="仿宋_GB2312"/>
            <w:sz w:val="32"/>
            <w:szCs w:val="32"/>
            <w:lang w:val="en" w:eastAsia="zh-CN"/>
          </w:rPr>
          <w:t>半年</w:t>
        </w:r>
      </w:ins>
      <w:ins w:id="44" w:author="user" w:date="2023-09-11T10:51:16Z">
        <w:r>
          <w:rPr>
            <w:rFonts w:hint="eastAsia" w:ascii="仿宋_GB2312" w:hAnsi="仿宋_GB2312" w:eastAsia="仿宋_GB2312" w:cs="仿宋_GB2312"/>
            <w:sz w:val="32"/>
            <w:szCs w:val="32"/>
            <w:lang w:val="en" w:eastAsia="zh-CN"/>
          </w:rPr>
          <w:t>继续</w:t>
        </w:r>
      </w:ins>
      <w:ins w:id="45" w:author="user" w:date="2023-09-11T10:51:18Z">
        <w:r>
          <w:rPr>
            <w:rFonts w:hint="eastAsia" w:ascii="仿宋_GB2312" w:hAnsi="仿宋_GB2312" w:eastAsia="仿宋_GB2312" w:cs="仿宋_GB2312"/>
            <w:sz w:val="32"/>
            <w:szCs w:val="32"/>
            <w:lang w:val="en" w:eastAsia="zh-CN"/>
          </w:rPr>
          <w:t>使用</w:t>
        </w:r>
      </w:ins>
      <w:r>
        <w:rPr>
          <w:rFonts w:hint="eastAsia" w:ascii="仿宋_GB2312" w:hAnsi="仿宋_GB2312" w:eastAsia="仿宋_GB2312" w:cs="仿宋_GB2312"/>
          <w:bCs/>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textAlignment w:val="auto"/>
        <w:outlineLvl w:val="2"/>
        <w:rPr>
          <w:rFonts w:hint="eastAsia" w:ascii="仿宋_GB2312" w:hAnsi="仿宋_GB2312" w:eastAsia="仿宋_GB2312" w:cs="仿宋_GB2312"/>
          <w:bCs/>
          <w:sz w:val="32"/>
          <w:szCs w:val="32"/>
        </w:rPr>
      </w:pPr>
      <w:r>
        <w:rPr>
          <w:rStyle w:val="14"/>
          <w:rFonts w:hint="eastAsia" w:ascii="仿宋_GB2312" w:hAnsi="仿宋_GB2312" w:eastAsia="仿宋_GB2312" w:cs="仿宋_GB2312"/>
          <w:b w:val="0"/>
          <w:sz w:val="32"/>
          <w:szCs w:val="32"/>
        </w:rPr>
        <w:t>社会保障和就业支出</w:t>
      </w:r>
      <w:r>
        <w:rPr>
          <w:rStyle w:val="14"/>
          <w:rFonts w:hint="eastAsia" w:ascii="仿宋_GB2312" w:hAnsi="仿宋_GB2312" w:eastAsia="仿宋_GB2312" w:cs="仿宋_GB2312"/>
          <w:bCs/>
          <w:sz w:val="32"/>
          <w:szCs w:val="32"/>
        </w:rPr>
        <w:t>（类）</w:t>
      </w:r>
      <w:r>
        <w:rPr>
          <w:rFonts w:hint="eastAsia" w:ascii="仿宋_GB2312" w:hAnsi="仿宋_GB2312" w:eastAsia="仿宋_GB2312" w:cs="仿宋_GB2312"/>
          <w:bCs/>
          <w:sz w:val="32"/>
          <w:szCs w:val="32"/>
        </w:rPr>
        <w:t>行政事业单位养老支出</w:t>
      </w:r>
      <w:r>
        <w:rPr>
          <w:rStyle w:val="14"/>
          <w:rFonts w:hint="eastAsia" w:ascii="仿宋_GB2312" w:hAnsi="仿宋_GB2312" w:eastAsia="仿宋_GB2312" w:cs="仿宋_GB2312"/>
          <w:bCs/>
          <w:sz w:val="32"/>
          <w:szCs w:val="32"/>
        </w:rPr>
        <w:t>（款）</w:t>
      </w:r>
      <w:r>
        <w:rPr>
          <w:rStyle w:val="14"/>
          <w:rFonts w:hint="eastAsia" w:ascii="仿宋_GB2312" w:hAnsi="仿宋_GB2312" w:eastAsia="仿宋_GB2312" w:cs="仿宋_GB2312"/>
          <w:bCs/>
          <w:sz w:val="32"/>
          <w:szCs w:val="32"/>
          <w:lang w:val="en-US" w:eastAsia="zh-CN"/>
        </w:rPr>
        <w:t>行政单位离退休（项）</w:t>
      </w:r>
      <w:r>
        <w:rPr>
          <w:rFonts w:hint="eastAsia" w:ascii="仿宋_GB2312" w:hAnsi="仿宋_GB2312" w:eastAsia="仿宋_GB2312" w:cs="仿宋_GB2312"/>
          <w:sz w:val="32"/>
          <w:szCs w:val="32"/>
        </w:rPr>
        <w:t>2021年</w:t>
      </w:r>
      <w:r>
        <w:rPr>
          <w:rFonts w:hint="eastAsia" w:ascii="仿宋_GB2312" w:hAnsi="仿宋_GB2312" w:eastAsia="仿宋_GB2312" w:cs="仿宋_GB2312"/>
          <w:bCs/>
          <w:sz w:val="32"/>
          <w:szCs w:val="32"/>
          <w:lang w:val="en-US" w:eastAsia="zh-CN"/>
        </w:rPr>
        <w:t>决算数为30.81</w:t>
      </w:r>
      <w:r>
        <w:rPr>
          <w:rFonts w:hint="eastAsia" w:ascii="仿宋_GB2312" w:hAnsi="仿宋_GB2312" w:eastAsia="仿宋_GB2312" w:cs="仿宋_GB2312"/>
          <w:bCs/>
          <w:sz w:val="32"/>
          <w:szCs w:val="32"/>
        </w:rPr>
        <w:t>万元，</w:t>
      </w:r>
      <w:r>
        <w:rPr>
          <w:rFonts w:hint="eastAsia" w:ascii="仿宋_GB2312" w:hAnsi="仿宋_GB2312" w:eastAsia="仿宋_GB2312" w:cs="仿宋_GB2312"/>
          <w:sz w:val="32"/>
          <w:szCs w:val="32"/>
        </w:rPr>
        <w:t>完成预算100%</w:t>
      </w:r>
      <w:r>
        <w:rPr>
          <w:rFonts w:hint="eastAsia" w:ascii="仿宋_GB2312" w:hAnsi="仿宋_GB2312" w:eastAsia="仿宋_GB2312" w:cs="仿宋_GB2312"/>
          <w:bCs/>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textAlignment w:val="auto"/>
        <w:outlineLvl w:val="2"/>
        <w:rPr>
          <w:rFonts w:hint="eastAsia" w:ascii="仿宋_GB2312" w:hAnsi="仿宋_GB2312" w:eastAsia="仿宋_GB2312" w:cs="仿宋_GB2312"/>
          <w:bCs/>
          <w:sz w:val="32"/>
          <w:szCs w:val="32"/>
        </w:rPr>
      </w:pPr>
      <w:r>
        <w:rPr>
          <w:rStyle w:val="14"/>
          <w:rFonts w:hint="eastAsia" w:ascii="仿宋_GB2312" w:hAnsi="仿宋_GB2312" w:eastAsia="仿宋_GB2312" w:cs="仿宋_GB2312"/>
          <w:b w:val="0"/>
          <w:sz w:val="32"/>
          <w:szCs w:val="32"/>
        </w:rPr>
        <w:t>社会保障和就业支出</w:t>
      </w:r>
      <w:r>
        <w:rPr>
          <w:rStyle w:val="14"/>
          <w:rFonts w:hint="eastAsia" w:ascii="仿宋_GB2312" w:hAnsi="仿宋_GB2312" w:eastAsia="仿宋_GB2312" w:cs="仿宋_GB2312"/>
          <w:bCs/>
          <w:sz w:val="32"/>
          <w:szCs w:val="32"/>
        </w:rPr>
        <w:t>（类）</w:t>
      </w:r>
      <w:r>
        <w:rPr>
          <w:rFonts w:hint="eastAsia" w:ascii="仿宋_GB2312" w:hAnsi="仿宋_GB2312" w:eastAsia="仿宋_GB2312" w:cs="仿宋_GB2312"/>
          <w:bCs/>
          <w:sz w:val="32"/>
          <w:szCs w:val="32"/>
          <w:lang w:val="en-US" w:eastAsia="zh-CN"/>
        </w:rPr>
        <w:t>机关事业单位基本养老保险缴费支出</w:t>
      </w:r>
      <w:r>
        <w:rPr>
          <w:rStyle w:val="14"/>
          <w:rFonts w:hint="eastAsia" w:ascii="仿宋_GB2312" w:hAnsi="仿宋_GB2312" w:eastAsia="仿宋_GB2312" w:cs="仿宋_GB2312"/>
          <w:bCs/>
          <w:sz w:val="32"/>
          <w:szCs w:val="32"/>
        </w:rPr>
        <w:t>（款）</w:t>
      </w:r>
      <w:r>
        <w:rPr>
          <w:rFonts w:hint="eastAsia" w:ascii="仿宋_GB2312" w:hAnsi="仿宋_GB2312" w:eastAsia="仿宋_GB2312" w:cs="仿宋_GB2312"/>
          <w:sz w:val="32"/>
          <w:szCs w:val="32"/>
        </w:rPr>
        <w:t>2021年</w:t>
      </w:r>
      <w:r>
        <w:rPr>
          <w:rFonts w:hint="eastAsia" w:ascii="仿宋_GB2312" w:hAnsi="仿宋_GB2312" w:eastAsia="仿宋_GB2312" w:cs="仿宋_GB2312"/>
          <w:bCs/>
          <w:sz w:val="32"/>
          <w:szCs w:val="32"/>
          <w:lang w:val="en-US" w:eastAsia="zh-CN"/>
        </w:rPr>
        <w:t>决算数为53.49</w:t>
      </w:r>
      <w:r>
        <w:rPr>
          <w:rFonts w:hint="eastAsia" w:ascii="仿宋_GB2312" w:hAnsi="仿宋_GB2312" w:eastAsia="仿宋_GB2312" w:cs="仿宋_GB2312"/>
          <w:bCs/>
          <w:sz w:val="32"/>
          <w:szCs w:val="32"/>
        </w:rPr>
        <w:t>万元，</w:t>
      </w:r>
      <w:r>
        <w:rPr>
          <w:rFonts w:hint="eastAsia" w:ascii="仿宋_GB2312" w:hAnsi="仿宋_GB2312" w:eastAsia="仿宋_GB2312" w:cs="仿宋_GB2312"/>
          <w:sz w:val="32"/>
          <w:szCs w:val="32"/>
        </w:rPr>
        <w:t>完成预算100%</w:t>
      </w:r>
      <w:r>
        <w:rPr>
          <w:rFonts w:hint="eastAsia" w:ascii="仿宋_GB2312" w:hAnsi="仿宋_GB2312" w:eastAsia="仿宋_GB2312" w:cs="仿宋_GB2312"/>
          <w:bCs/>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textAlignment w:val="auto"/>
        <w:outlineLvl w:val="2"/>
        <w:rPr>
          <w:rFonts w:hint="eastAsia" w:ascii="仿宋_GB2312" w:hAnsi="仿宋_GB2312" w:eastAsia="仿宋_GB2312" w:cs="仿宋_GB2312"/>
          <w:bCs/>
          <w:sz w:val="32"/>
          <w:szCs w:val="32"/>
        </w:rPr>
      </w:pPr>
      <w:r>
        <w:rPr>
          <w:rStyle w:val="14"/>
          <w:rFonts w:hint="eastAsia" w:ascii="仿宋_GB2312" w:hAnsi="仿宋_GB2312" w:eastAsia="仿宋_GB2312" w:cs="仿宋_GB2312"/>
          <w:b w:val="0"/>
          <w:sz w:val="32"/>
          <w:szCs w:val="32"/>
        </w:rPr>
        <w:t>社会保障和就业支出</w:t>
      </w:r>
      <w:r>
        <w:rPr>
          <w:rStyle w:val="14"/>
          <w:rFonts w:hint="eastAsia" w:ascii="仿宋_GB2312" w:hAnsi="仿宋_GB2312" w:eastAsia="仿宋_GB2312" w:cs="仿宋_GB2312"/>
          <w:bCs/>
          <w:sz w:val="32"/>
          <w:szCs w:val="32"/>
        </w:rPr>
        <w:t>（类）</w:t>
      </w:r>
      <w:r>
        <w:rPr>
          <w:rFonts w:hint="eastAsia" w:ascii="仿宋_GB2312" w:hAnsi="仿宋_GB2312" w:eastAsia="仿宋_GB2312" w:cs="仿宋_GB2312"/>
          <w:bCs/>
          <w:sz w:val="32"/>
          <w:szCs w:val="32"/>
        </w:rPr>
        <w:t>行政事业单位养老支出</w:t>
      </w:r>
      <w:r>
        <w:rPr>
          <w:rStyle w:val="14"/>
          <w:rFonts w:hint="eastAsia" w:ascii="仿宋_GB2312" w:hAnsi="仿宋_GB2312" w:eastAsia="仿宋_GB2312" w:cs="仿宋_GB2312"/>
          <w:bCs/>
          <w:sz w:val="32"/>
          <w:szCs w:val="32"/>
        </w:rPr>
        <w:t>（款）</w:t>
      </w:r>
      <w:r>
        <w:rPr>
          <w:rStyle w:val="14"/>
          <w:rFonts w:hint="eastAsia" w:ascii="仿宋_GB2312" w:hAnsi="仿宋_GB2312" w:eastAsia="仿宋_GB2312" w:cs="仿宋_GB2312"/>
          <w:bCs/>
          <w:sz w:val="32"/>
          <w:szCs w:val="32"/>
          <w:lang w:val="en-US" w:eastAsia="zh-CN"/>
        </w:rPr>
        <w:t>机关事业单位职业年金缴费支出</w:t>
      </w:r>
      <w:r>
        <w:rPr>
          <w:rFonts w:hint="eastAsia" w:ascii="仿宋_GB2312" w:hAnsi="仿宋_GB2312" w:eastAsia="仿宋_GB2312" w:cs="仿宋_GB2312"/>
          <w:sz w:val="32"/>
          <w:szCs w:val="32"/>
        </w:rPr>
        <w:t>2021年</w:t>
      </w:r>
      <w:r>
        <w:rPr>
          <w:rFonts w:hint="eastAsia" w:ascii="仿宋_GB2312" w:hAnsi="仿宋_GB2312" w:eastAsia="仿宋_GB2312" w:cs="仿宋_GB2312"/>
          <w:bCs/>
          <w:sz w:val="32"/>
          <w:szCs w:val="32"/>
          <w:lang w:val="en-US" w:eastAsia="zh-CN"/>
        </w:rPr>
        <w:t>决算数为11.43</w:t>
      </w:r>
      <w:r>
        <w:rPr>
          <w:rFonts w:hint="eastAsia" w:ascii="仿宋_GB2312" w:hAnsi="仿宋_GB2312" w:eastAsia="仿宋_GB2312" w:cs="仿宋_GB2312"/>
          <w:bCs/>
          <w:sz w:val="32"/>
          <w:szCs w:val="32"/>
        </w:rPr>
        <w:t>万元，</w:t>
      </w:r>
      <w:r>
        <w:rPr>
          <w:rFonts w:hint="eastAsia" w:ascii="仿宋_GB2312" w:hAnsi="仿宋_GB2312" w:eastAsia="仿宋_GB2312" w:cs="仿宋_GB2312"/>
          <w:sz w:val="32"/>
          <w:szCs w:val="32"/>
        </w:rPr>
        <w:t>完成预算100%</w:t>
      </w:r>
      <w:r>
        <w:rPr>
          <w:rFonts w:hint="eastAsia" w:ascii="仿宋_GB2312" w:hAnsi="仿宋_GB2312" w:eastAsia="仿宋_GB2312" w:cs="仿宋_GB2312"/>
          <w:bCs/>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Style w:val="14"/>
          <w:rFonts w:hint="eastAsia" w:ascii="仿宋_GB2312" w:hAnsi="仿宋_GB2312" w:eastAsia="仿宋_GB2312" w:cs="仿宋_GB2312"/>
          <w:b w:val="0"/>
          <w:sz w:val="32"/>
          <w:szCs w:val="32"/>
        </w:rPr>
        <w:t>社会保障和就业支出</w:t>
      </w:r>
      <w:r>
        <w:rPr>
          <w:rStyle w:val="14"/>
          <w:rFonts w:hint="eastAsia" w:ascii="仿宋_GB2312" w:hAnsi="仿宋_GB2312" w:eastAsia="仿宋_GB2312" w:cs="仿宋_GB2312"/>
          <w:bCs/>
          <w:sz w:val="32"/>
          <w:szCs w:val="32"/>
        </w:rPr>
        <w:t>（类）</w:t>
      </w:r>
      <w:r>
        <w:rPr>
          <w:rStyle w:val="14"/>
          <w:rFonts w:hint="eastAsia" w:ascii="仿宋_GB2312" w:hAnsi="仿宋_GB2312" w:eastAsia="仿宋_GB2312" w:cs="仿宋_GB2312"/>
          <w:b w:val="0"/>
          <w:sz w:val="32"/>
          <w:szCs w:val="32"/>
        </w:rPr>
        <w:t>抚恤</w:t>
      </w:r>
      <w:r>
        <w:rPr>
          <w:rStyle w:val="14"/>
          <w:rFonts w:hint="eastAsia" w:ascii="仿宋_GB2312" w:hAnsi="仿宋_GB2312" w:eastAsia="仿宋_GB2312" w:cs="仿宋_GB2312"/>
          <w:bCs/>
          <w:sz w:val="32"/>
          <w:szCs w:val="32"/>
        </w:rPr>
        <w:t>（款）</w:t>
      </w:r>
      <w:r>
        <w:rPr>
          <w:rFonts w:hint="eastAsia" w:ascii="仿宋_GB2312" w:hAnsi="仿宋_GB2312" w:eastAsia="仿宋_GB2312" w:cs="仿宋_GB2312"/>
          <w:sz w:val="32"/>
          <w:szCs w:val="32"/>
        </w:rPr>
        <w:t>死亡</w:t>
      </w:r>
      <w:r>
        <w:rPr>
          <w:rStyle w:val="14"/>
          <w:rFonts w:hint="eastAsia" w:ascii="仿宋_GB2312" w:hAnsi="仿宋_GB2312" w:eastAsia="仿宋_GB2312" w:cs="仿宋_GB2312"/>
          <w:b w:val="0"/>
          <w:sz w:val="32"/>
          <w:szCs w:val="32"/>
        </w:rPr>
        <w:t>抚恤</w:t>
      </w:r>
      <w:r>
        <w:rPr>
          <w:rStyle w:val="14"/>
          <w:rFonts w:hint="eastAsia" w:ascii="仿宋_GB2312" w:hAnsi="仿宋_GB2312" w:eastAsia="仿宋_GB2312" w:cs="仿宋_GB2312"/>
          <w:bCs/>
          <w:sz w:val="32"/>
          <w:szCs w:val="32"/>
        </w:rPr>
        <w:t>（项）</w:t>
      </w:r>
      <w:r>
        <w:rPr>
          <w:rFonts w:hint="eastAsia" w:ascii="仿宋_GB2312" w:hAnsi="仿宋_GB2312" w:eastAsia="仿宋_GB2312" w:cs="仿宋_GB2312"/>
          <w:sz w:val="32"/>
          <w:szCs w:val="32"/>
        </w:rPr>
        <w:t>：2021年决算数为45.21万元,完成预算100%；</w:t>
      </w:r>
    </w:p>
    <w:p>
      <w:pPr>
        <w:keepNext w:val="0"/>
        <w:keepLines w:val="0"/>
        <w:pageBreakBefore w:val="0"/>
        <w:widowControl w:val="0"/>
        <w:numPr>
          <w:numId w:val="0"/>
        </w:numPr>
        <w:kinsoku/>
        <w:wordWrap/>
        <w:overflowPunct/>
        <w:topLinePunct w:val="0"/>
        <w:autoSpaceDE/>
        <w:autoSpaceDN/>
        <w:bidi w:val="0"/>
        <w:adjustRightInd/>
        <w:snapToGrid/>
        <w:spacing w:line="576" w:lineRule="exact"/>
        <w:ind w:leftChars="200" w:firstLine="320" w:firstLineChars="100"/>
        <w:textAlignment w:val="auto"/>
        <w:outlineLvl w:val="2"/>
        <w:rPr>
          <w:rFonts w:hint="eastAsia" w:ascii="仿宋_GB2312" w:hAnsi="仿宋_GB2312" w:eastAsia="仿宋_GB2312" w:cs="仿宋_GB2312"/>
          <w:sz w:val="32"/>
          <w:szCs w:val="32"/>
        </w:rPr>
        <w:pPrChange w:id="46" w:author="user" w:date="2023-09-11T10:54:02Z">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pPr>
        </w:pPrChange>
      </w:pPr>
      <w:r>
        <w:rPr>
          <w:rFonts w:hint="eastAsia" w:ascii="仿宋_GB2312" w:hAnsi="仿宋_GB2312" w:eastAsia="仿宋_GB2312" w:cs="仿宋_GB2312"/>
          <w:bCs/>
          <w:sz w:val="32"/>
          <w:szCs w:val="32"/>
          <w:lang w:val="en-US" w:eastAsia="zh-CN"/>
        </w:rPr>
        <w:t>11.</w:t>
      </w:r>
      <w:r>
        <w:rPr>
          <w:rStyle w:val="14"/>
          <w:rFonts w:hint="eastAsia" w:ascii="仿宋_GB2312" w:hAnsi="仿宋_GB2312" w:eastAsia="仿宋_GB2312" w:cs="仿宋_GB2312"/>
          <w:b w:val="0"/>
          <w:sz w:val="32"/>
          <w:szCs w:val="32"/>
        </w:rPr>
        <w:t>社会保障和就业支出</w:t>
      </w:r>
      <w:r>
        <w:rPr>
          <w:rStyle w:val="14"/>
          <w:rFonts w:hint="eastAsia" w:ascii="仿宋_GB2312" w:hAnsi="仿宋_GB2312" w:eastAsia="仿宋_GB2312" w:cs="仿宋_GB2312"/>
          <w:bCs/>
          <w:sz w:val="32"/>
          <w:szCs w:val="32"/>
        </w:rPr>
        <w:t>（类）</w:t>
      </w:r>
      <w:r>
        <w:rPr>
          <w:rFonts w:hint="eastAsia" w:ascii="仿宋_GB2312" w:hAnsi="仿宋_GB2312" w:eastAsia="仿宋_GB2312" w:cs="仿宋_GB2312"/>
          <w:bCs/>
          <w:sz w:val="32"/>
          <w:szCs w:val="32"/>
        </w:rPr>
        <w:t>临时救助</w:t>
      </w:r>
      <w:r>
        <w:rPr>
          <w:rStyle w:val="14"/>
          <w:rFonts w:hint="eastAsia" w:ascii="仿宋_GB2312" w:hAnsi="仿宋_GB2312" w:eastAsia="仿宋_GB2312" w:cs="仿宋_GB2312"/>
          <w:bCs/>
          <w:sz w:val="32"/>
          <w:szCs w:val="32"/>
        </w:rPr>
        <w:t>（款）</w:t>
      </w:r>
      <w:r>
        <w:rPr>
          <w:rFonts w:hint="eastAsia" w:ascii="仿宋_GB2312" w:hAnsi="仿宋_GB2312" w:eastAsia="仿宋_GB2312" w:cs="仿宋_GB2312"/>
          <w:bCs/>
          <w:sz w:val="32"/>
          <w:szCs w:val="32"/>
        </w:rPr>
        <w:t>临时救助支出</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项</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sz w:val="32"/>
          <w:szCs w:val="32"/>
        </w:rPr>
        <w:t>2021年决算数为</w:t>
      </w:r>
      <w:r>
        <w:rPr>
          <w:rFonts w:hint="eastAsia" w:ascii="仿宋_GB2312" w:hAnsi="仿宋_GB2312" w:eastAsia="仿宋_GB2312" w:cs="仿宋_GB2312"/>
          <w:sz w:val="32"/>
          <w:szCs w:val="32"/>
          <w:lang w:val="en-US" w:eastAsia="zh-CN"/>
        </w:rPr>
        <w:t>37.97</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43</w:t>
      </w:r>
      <w:r>
        <w:rPr>
          <w:rFonts w:hint="eastAsia" w:ascii="仿宋_GB2312" w:hAnsi="仿宋_GB2312" w:eastAsia="仿宋_GB2312" w:cs="仿宋_GB2312"/>
          <w:sz w:val="32"/>
          <w:szCs w:val="32"/>
        </w:rPr>
        <w:t>%</w:t>
      </w:r>
      <w:ins w:id="47" w:author="user" w:date="2023-09-11T10:51:49Z">
        <w:r>
          <w:rPr>
            <w:rFonts w:hint="eastAsia" w:ascii="仿宋_GB2312" w:hAnsi="仿宋_GB2312" w:eastAsia="仿宋_GB2312" w:cs="仿宋_GB2312"/>
            <w:sz w:val="32"/>
            <w:szCs w:val="32"/>
            <w:lang w:eastAsia="zh-CN"/>
          </w:rPr>
          <w:t>，</w:t>
        </w:r>
      </w:ins>
      <w:ins w:id="48" w:author="user" w:date="2023-09-11T10:51:50Z">
        <w:r>
          <w:rPr>
            <w:rFonts w:hint="eastAsia" w:ascii="仿宋_GB2312" w:hAnsi="仿宋_GB2312" w:eastAsia="仿宋_GB2312" w:cs="仿宋_GB2312"/>
            <w:sz w:val="32"/>
            <w:szCs w:val="32"/>
            <w:lang w:val="en" w:eastAsia="zh-CN"/>
          </w:rPr>
          <w:t>主要是</w:t>
        </w:r>
      </w:ins>
      <w:ins w:id="49" w:author="user" w:date="2023-09-11T10:51:59Z">
        <w:r>
          <w:rPr>
            <w:rFonts w:hint="eastAsia" w:ascii="仿宋_GB2312" w:hAnsi="仿宋_GB2312" w:eastAsia="仿宋_GB2312" w:cs="仿宋_GB2312"/>
            <w:sz w:val="32"/>
            <w:szCs w:val="32"/>
            <w:lang w:val="en" w:eastAsia="zh-CN"/>
          </w:rPr>
          <w:t>临时</w:t>
        </w:r>
      </w:ins>
      <w:ins w:id="50" w:author="user" w:date="2023-09-11T10:51:50Z">
        <w:r>
          <w:rPr>
            <w:rFonts w:hint="eastAsia" w:ascii="仿宋_GB2312" w:hAnsi="仿宋_GB2312" w:eastAsia="仿宋_GB2312" w:cs="仿宋_GB2312"/>
            <w:sz w:val="32"/>
            <w:szCs w:val="32"/>
            <w:lang w:val="en" w:eastAsia="zh-CN"/>
          </w:rPr>
          <w:t>救助是连续性项目，都是下半年下达，故支付迟缓结转到下年，由下年的上半年继续使用</w:t>
        </w:r>
      </w:ins>
      <w:ins w:id="51" w:author="user" w:date="2023-09-11T10:51:50Z">
        <w:r>
          <w:rPr>
            <w:rFonts w:hint="eastAsia" w:ascii="仿宋_GB2312" w:hAnsi="仿宋_GB2312" w:eastAsia="仿宋_GB2312" w:cs="仿宋_GB2312"/>
            <w:bCs/>
            <w:sz w:val="32"/>
            <w:szCs w:val="32"/>
          </w:rPr>
          <w:t>；</w:t>
        </w:r>
      </w:ins>
      <w:del w:id="52" w:author="user" w:date="2023-09-11T10:54:01Z">
        <w:bookmarkStart w:id="68" w:name="_GoBack"/>
        <w:bookmarkEnd w:id="68"/>
        <w:r>
          <w:rPr>
            <w:rFonts w:hint="eastAsia" w:ascii="仿宋_GB2312" w:hAnsi="仿宋_GB2312" w:eastAsia="仿宋_GB2312" w:cs="仿宋_GB2312"/>
            <w:sz w:val="32"/>
            <w:szCs w:val="32"/>
          </w:rPr>
          <w:delText>；</w:delText>
        </w:r>
      </w:del>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color w:val="auto"/>
        </w:rPr>
      </w:pPr>
      <w:r>
        <w:rPr>
          <w:rStyle w:val="14"/>
          <w:rFonts w:hint="eastAsia" w:ascii="仿宋_GB2312" w:hAnsi="仿宋_GB2312" w:eastAsia="仿宋_GB2312" w:cs="仿宋_GB2312"/>
          <w:b w:val="0"/>
          <w:sz w:val="32"/>
          <w:szCs w:val="32"/>
          <w:lang w:val="en-US" w:eastAsia="zh-CN"/>
        </w:rPr>
        <w:t>12.</w:t>
      </w:r>
      <w:r>
        <w:rPr>
          <w:rStyle w:val="14"/>
          <w:rFonts w:hint="eastAsia" w:ascii="仿宋_GB2312" w:hAnsi="仿宋_GB2312" w:eastAsia="仿宋_GB2312" w:cs="仿宋_GB2312"/>
          <w:b w:val="0"/>
          <w:sz w:val="32"/>
          <w:szCs w:val="32"/>
        </w:rPr>
        <w:t>社会保障和就业支出</w:t>
      </w:r>
      <w:r>
        <w:rPr>
          <w:rStyle w:val="14"/>
          <w:rFonts w:hint="eastAsia" w:ascii="仿宋_GB2312" w:hAnsi="仿宋_GB2312" w:eastAsia="仿宋_GB2312" w:cs="仿宋_GB2312"/>
          <w:bCs/>
          <w:sz w:val="32"/>
          <w:szCs w:val="32"/>
        </w:rPr>
        <w:t>（类）</w:t>
      </w:r>
      <w:r>
        <w:rPr>
          <w:rFonts w:hint="eastAsia" w:ascii="仿宋_GB2312" w:hAnsi="仿宋_GB2312" w:eastAsia="仿宋_GB2312" w:cs="仿宋_GB2312"/>
          <w:bCs/>
          <w:sz w:val="32"/>
          <w:szCs w:val="32"/>
        </w:rPr>
        <w:t>临时救助</w:t>
      </w:r>
      <w:r>
        <w:rPr>
          <w:rStyle w:val="14"/>
          <w:rFonts w:hint="eastAsia" w:ascii="仿宋_GB2312" w:hAnsi="仿宋_GB2312" w:eastAsia="仿宋_GB2312" w:cs="仿宋_GB2312"/>
          <w:bCs/>
          <w:sz w:val="32"/>
          <w:szCs w:val="32"/>
        </w:rPr>
        <w:t>（款）</w:t>
      </w:r>
      <w:r>
        <w:rPr>
          <w:rFonts w:hint="eastAsia" w:ascii="仿宋_GB2312" w:hAnsi="仿宋_GB2312" w:eastAsia="仿宋_GB2312" w:cs="仿宋_GB2312"/>
          <w:bCs/>
          <w:sz w:val="32"/>
          <w:szCs w:val="32"/>
          <w:lang w:val="en-US" w:eastAsia="zh-CN"/>
        </w:rPr>
        <w:t>流浪乞讨人</w:t>
      </w:r>
      <w:r>
        <w:rPr>
          <w:rFonts w:hint="eastAsia" w:ascii="仿宋_GB2312" w:hAnsi="仿宋_GB2312" w:eastAsia="仿宋_GB2312" w:cs="仿宋_GB2312"/>
          <w:bCs/>
          <w:color w:val="auto"/>
          <w:sz w:val="32"/>
          <w:szCs w:val="32"/>
          <w:lang w:val="en-US" w:eastAsia="zh-CN"/>
        </w:rPr>
        <w:t>员</w:t>
      </w:r>
      <w:r>
        <w:rPr>
          <w:rFonts w:hint="eastAsia" w:ascii="仿宋_GB2312" w:hAnsi="仿宋_GB2312" w:eastAsia="仿宋_GB2312" w:cs="仿宋_GB2312"/>
          <w:bCs/>
          <w:color w:val="auto"/>
          <w:sz w:val="32"/>
          <w:szCs w:val="32"/>
        </w:rPr>
        <w:t>救助支出</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项</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color w:val="auto"/>
          <w:sz w:val="32"/>
          <w:szCs w:val="32"/>
        </w:rPr>
        <w:t>2021年决算数为</w:t>
      </w:r>
      <w:r>
        <w:rPr>
          <w:rFonts w:hint="eastAsia" w:ascii="仿宋_GB2312" w:hAnsi="仿宋_GB2312" w:eastAsia="仿宋_GB2312" w:cs="仿宋_GB2312"/>
          <w:color w:val="auto"/>
          <w:sz w:val="32"/>
          <w:szCs w:val="32"/>
          <w:lang w:val="en-US" w:eastAsia="zh-CN"/>
        </w:rPr>
        <w:t>14.89</w:t>
      </w:r>
      <w:r>
        <w:rPr>
          <w:rFonts w:hint="eastAsia" w:ascii="仿宋_GB2312" w:hAnsi="仿宋_GB2312" w:eastAsia="仿宋_GB2312" w:cs="仿宋_GB2312"/>
          <w:color w:val="auto"/>
          <w:sz w:val="32"/>
          <w:szCs w:val="32"/>
        </w:rPr>
        <w:t>万元,完成预算</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Style w:val="14"/>
          <w:rFonts w:hint="eastAsia" w:ascii="仿宋_GB2312" w:hAnsi="仿宋_GB2312" w:eastAsia="仿宋_GB2312" w:cs="仿宋_GB2312"/>
          <w:b w:val="0"/>
          <w:sz w:val="32"/>
          <w:szCs w:val="32"/>
          <w:lang w:val="en-US" w:eastAsia="zh-CN"/>
        </w:rPr>
        <w:t>13.</w:t>
      </w:r>
      <w:r>
        <w:rPr>
          <w:rStyle w:val="14"/>
          <w:rFonts w:hint="eastAsia" w:ascii="仿宋_GB2312" w:hAnsi="仿宋_GB2312" w:eastAsia="仿宋_GB2312" w:cs="仿宋_GB2312"/>
          <w:b w:val="0"/>
          <w:sz w:val="32"/>
          <w:szCs w:val="32"/>
        </w:rPr>
        <w:t>社会保障和就业支出</w:t>
      </w:r>
      <w:r>
        <w:rPr>
          <w:rStyle w:val="14"/>
          <w:rFonts w:hint="eastAsia" w:ascii="仿宋_GB2312" w:hAnsi="仿宋_GB2312" w:eastAsia="仿宋_GB2312" w:cs="仿宋_GB2312"/>
          <w:bCs/>
          <w:sz w:val="32"/>
          <w:szCs w:val="32"/>
        </w:rPr>
        <w:t>（类）</w:t>
      </w:r>
      <w:r>
        <w:rPr>
          <w:rStyle w:val="14"/>
          <w:rFonts w:hint="eastAsia" w:ascii="仿宋_GB2312" w:hAnsi="仿宋_GB2312" w:eastAsia="仿宋_GB2312" w:cs="仿宋_GB2312"/>
          <w:b w:val="0"/>
          <w:color w:val="000000"/>
          <w:sz w:val="32"/>
          <w:szCs w:val="32"/>
        </w:rPr>
        <w:t>医疗卫生与计划生育支出行政事业单位医疗</w:t>
      </w:r>
      <w:r>
        <w:rPr>
          <w:rStyle w:val="14"/>
          <w:rFonts w:hint="eastAsia" w:ascii="仿宋_GB2312" w:hAnsi="仿宋_GB2312" w:eastAsia="仿宋_GB2312" w:cs="仿宋_GB2312"/>
          <w:bCs/>
          <w:sz w:val="32"/>
          <w:szCs w:val="32"/>
        </w:rPr>
        <w:t>（款）</w:t>
      </w:r>
      <w:r>
        <w:rPr>
          <w:rStyle w:val="14"/>
          <w:rFonts w:hint="eastAsia" w:ascii="仿宋_GB2312" w:hAnsi="仿宋_GB2312" w:eastAsia="仿宋_GB2312" w:cs="仿宋_GB2312"/>
          <w:bCs/>
          <w:sz w:val="32"/>
          <w:szCs w:val="32"/>
          <w:lang w:val="en-US" w:eastAsia="zh-CN"/>
        </w:rPr>
        <w:t>行政单位医疗</w:t>
      </w:r>
      <w:r>
        <w:rPr>
          <w:rStyle w:val="14"/>
          <w:rFonts w:hint="eastAsia" w:ascii="仿宋_GB2312" w:hAnsi="仿宋_GB2312" w:eastAsia="仿宋_GB2312" w:cs="仿宋_GB2312"/>
          <w:bCs/>
          <w:sz w:val="32"/>
          <w:szCs w:val="32"/>
        </w:rPr>
        <w:t>（项）</w:t>
      </w:r>
      <w:r>
        <w:rPr>
          <w:rStyle w:val="14"/>
          <w:rFonts w:hint="eastAsia" w:ascii="仿宋_GB2312" w:hAnsi="仿宋_GB2312" w:eastAsia="仿宋_GB2312" w:cs="仿宋_GB2312"/>
          <w:b w:val="0"/>
          <w:color w:val="000000"/>
          <w:sz w:val="32"/>
          <w:szCs w:val="32"/>
        </w:rPr>
        <w:t>2021年决算</w:t>
      </w:r>
      <w:r>
        <w:rPr>
          <w:rFonts w:hint="eastAsia" w:ascii="仿宋_GB2312" w:hAnsi="仿宋_GB2312" w:eastAsia="仿宋_GB2312" w:cs="仿宋_GB2312"/>
          <w:sz w:val="32"/>
          <w:szCs w:val="32"/>
        </w:rPr>
        <w:t>数</w:t>
      </w:r>
      <w:r>
        <w:rPr>
          <w:rStyle w:val="14"/>
          <w:rFonts w:hint="eastAsia" w:ascii="仿宋_GB2312" w:hAnsi="仿宋_GB2312" w:eastAsia="仿宋_GB2312" w:cs="仿宋_GB2312"/>
          <w:b w:val="0"/>
          <w:sz w:val="32"/>
          <w:szCs w:val="32"/>
          <w:lang w:val="en-US" w:eastAsia="zh-CN"/>
        </w:rPr>
        <w:t>26.15</w:t>
      </w:r>
      <w:r>
        <w:rPr>
          <w:rFonts w:hint="eastAsia" w:ascii="仿宋_GB2312" w:hAnsi="仿宋_GB2312" w:eastAsia="仿宋_GB2312" w:cs="仿宋_GB2312"/>
          <w:sz w:val="32"/>
          <w:szCs w:val="32"/>
        </w:rPr>
        <w:t>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Style w:val="14"/>
          <w:rFonts w:hint="eastAsia" w:ascii="仿宋_GB2312" w:hAnsi="仿宋_GB2312" w:eastAsia="仿宋_GB2312" w:cs="仿宋_GB2312"/>
          <w:bCs/>
          <w:sz w:val="32"/>
          <w:szCs w:val="32"/>
        </w:rPr>
      </w:pPr>
      <w:r>
        <w:rPr>
          <w:rStyle w:val="14"/>
          <w:rFonts w:hint="eastAsia" w:ascii="仿宋_GB2312" w:hAnsi="仿宋_GB2312" w:eastAsia="仿宋_GB2312" w:cs="仿宋_GB2312"/>
          <w:b w:val="0"/>
          <w:color w:val="000000"/>
          <w:sz w:val="32"/>
          <w:szCs w:val="32"/>
          <w:lang w:val="en-US" w:eastAsia="zh-CN"/>
        </w:rPr>
        <w:t>14.</w:t>
      </w:r>
      <w:r>
        <w:rPr>
          <w:rStyle w:val="14"/>
          <w:rFonts w:hint="eastAsia" w:ascii="仿宋_GB2312" w:hAnsi="仿宋_GB2312" w:eastAsia="仿宋_GB2312" w:cs="仿宋_GB2312"/>
          <w:b w:val="0"/>
          <w:sz w:val="32"/>
          <w:szCs w:val="32"/>
        </w:rPr>
        <w:t>社会保障和就业支出</w:t>
      </w:r>
      <w:r>
        <w:rPr>
          <w:rStyle w:val="14"/>
          <w:rFonts w:hint="eastAsia" w:ascii="仿宋_GB2312" w:hAnsi="仿宋_GB2312" w:eastAsia="仿宋_GB2312" w:cs="仿宋_GB2312"/>
          <w:bCs/>
          <w:sz w:val="32"/>
          <w:szCs w:val="32"/>
        </w:rPr>
        <w:t>（类）</w:t>
      </w:r>
      <w:r>
        <w:rPr>
          <w:rStyle w:val="14"/>
          <w:rFonts w:hint="eastAsia" w:ascii="仿宋_GB2312" w:hAnsi="仿宋_GB2312" w:eastAsia="仿宋_GB2312" w:cs="仿宋_GB2312"/>
          <w:b w:val="0"/>
          <w:color w:val="000000"/>
          <w:sz w:val="32"/>
          <w:szCs w:val="32"/>
        </w:rPr>
        <w:t>住房保障支出住房改革支出</w:t>
      </w:r>
      <w:r>
        <w:rPr>
          <w:rStyle w:val="14"/>
          <w:rFonts w:hint="eastAsia" w:ascii="仿宋_GB2312" w:hAnsi="仿宋_GB2312" w:eastAsia="仿宋_GB2312" w:cs="仿宋_GB2312"/>
          <w:bCs/>
          <w:sz w:val="32"/>
          <w:szCs w:val="32"/>
        </w:rPr>
        <w:t>（款）</w:t>
      </w:r>
      <w:r>
        <w:rPr>
          <w:rStyle w:val="14"/>
          <w:rFonts w:hint="eastAsia" w:ascii="仿宋_GB2312" w:hAnsi="仿宋_GB2312" w:eastAsia="仿宋_GB2312" w:cs="仿宋_GB2312"/>
          <w:bCs/>
          <w:sz w:val="32"/>
          <w:szCs w:val="32"/>
          <w:lang w:val="en-US" w:eastAsia="zh-CN"/>
        </w:rPr>
        <w:t>住房公积金</w:t>
      </w:r>
      <w:r>
        <w:rPr>
          <w:rStyle w:val="14"/>
          <w:rFonts w:hint="eastAsia" w:ascii="仿宋_GB2312" w:hAnsi="仿宋_GB2312" w:eastAsia="仿宋_GB2312" w:cs="仿宋_GB2312"/>
          <w:bCs/>
          <w:sz w:val="32"/>
          <w:szCs w:val="32"/>
        </w:rPr>
        <w:t>（项）：</w:t>
      </w:r>
      <w:r>
        <w:rPr>
          <w:rStyle w:val="14"/>
          <w:rFonts w:hint="eastAsia" w:ascii="仿宋_GB2312" w:hAnsi="仿宋_GB2312" w:eastAsia="仿宋_GB2312" w:cs="仿宋_GB2312"/>
          <w:b w:val="0"/>
          <w:color w:val="000000"/>
          <w:sz w:val="32"/>
          <w:szCs w:val="32"/>
        </w:rPr>
        <w:t>2021年决算</w:t>
      </w:r>
      <w:r>
        <w:rPr>
          <w:rFonts w:hint="eastAsia" w:ascii="仿宋_GB2312" w:hAnsi="仿宋_GB2312" w:eastAsia="仿宋_GB2312" w:cs="仿宋_GB2312"/>
          <w:sz w:val="32"/>
          <w:szCs w:val="32"/>
        </w:rPr>
        <w:t>数</w:t>
      </w:r>
      <w:r>
        <w:rPr>
          <w:rStyle w:val="14"/>
          <w:rFonts w:hint="eastAsia" w:ascii="仿宋_GB2312" w:hAnsi="仿宋_GB2312" w:eastAsia="仿宋_GB2312" w:cs="仿宋_GB2312"/>
          <w:b w:val="0"/>
          <w:color w:val="000000"/>
          <w:sz w:val="32"/>
          <w:szCs w:val="32"/>
        </w:rPr>
        <w:t>为</w:t>
      </w:r>
      <w:r>
        <w:rPr>
          <w:rStyle w:val="14"/>
          <w:rFonts w:hint="eastAsia" w:ascii="仿宋_GB2312" w:hAnsi="仿宋_GB2312" w:eastAsia="仿宋_GB2312" w:cs="仿宋_GB2312"/>
          <w:b w:val="0"/>
          <w:color w:val="000000"/>
          <w:sz w:val="32"/>
          <w:szCs w:val="32"/>
          <w:lang w:val="en-US" w:eastAsia="zh-CN"/>
        </w:rPr>
        <w:t>58.39</w:t>
      </w:r>
      <w:r>
        <w:rPr>
          <w:rStyle w:val="14"/>
          <w:rFonts w:hint="eastAsia" w:ascii="仿宋_GB2312" w:hAnsi="仿宋_GB2312" w:eastAsia="仿宋_GB2312" w:cs="仿宋_GB2312"/>
          <w:b w:val="0"/>
          <w:color w:val="000000"/>
          <w:sz w:val="32"/>
          <w:szCs w:val="32"/>
        </w:rPr>
        <w:t>万元，完成预算</w:t>
      </w:r>
      <w:r>
        <w:rPr>
          <w:rStyle w:val="14"/>
          <w:rFonts w:hint="eastAsia" w:ascii="仿宋_GB2312" w:hAnsi="仿宋_GB2312" w:eastAsia="仿宋_GB2312" w:cs="仿宋_GB2312"/>
          <w:bCs/>
          <w:color w:val="000000"/>
          <w:sz w:val="32"/>
          <w:szCs w:val="32"/>
        </w:rPr>
        <w:t>100%。</w:t>
      </w:r>
    </w:p>
    <w:p>
      <w:pPr>
        <w:tabs>
          <w:tab w:val="right" w:pos="8306"/>
        </w:tabs>
        <w:spacing w:line="600" w:lineRule="exact"/>
        <w:ind w:firstLine="640" w:firstLineChars="200"/>
        <w:outlineLvl w:val="1"/>
        <w:rPr>
          <w:rStyle w:val="26"/>
          <w:rFonts w:hint="eastAsia" w:ascii="黑体" w:hAnsi="黑体" w:eastAsia="黑体" w:cs="黑体"/>
          <w:b w:val="0"/>
          <w:bCs w:val="0"/>
          <w:sz w:val="32"/>
          <w:szCs w:val="32"/>
        </w:rPr>
      </w:pPr>
      <w:bookmarkStart w:id="41" w:name="_Toc15396608"/>
      <w:bookmarkStart w:id="42" w:name="_Toc15377214"/>
      <w:r>
        <w:rPr>
          <w:rFonts w:hint="eastAsia" w:ascii="黑体" w:hAnsi="黑体" w:eastAsia="黑体" w:cs="黑体"/>
          <w:b w:val="0"/>
          <w:bCs w:val="0"/>
          <w:sz w:val="32"/>
          <w:szCs w:val="32"/>
        </w:rPr>
        <w:t>六、一</w:t>
      </w:r>
      <w:r>
        <w:rPr>
          <w:rStyle w:val="26"/>
          <w:rFonts w:hint="eastAsia" w:ascii="黑体" w:hAnsi="黑体" w:eastAsia="黑体" w:cs="黑体"/>
          <w:b w:val="0"/>
          <w:bCs w:val="0"/>
          <w:sz w:val="32"/>
          <w:szCs w:val="32"/>
        </w:rPr>
        <w:t>般公共预算财政拨款基本支出决算情况说明</w:t>
      </w:r>
      <w:bookmarkEnd w:id="41"/>
      <w:bookmarkEnd w:id="42"/>
      <w:r>
        <w:rPr>
          <w:rStyle w:val="26"/>
          <w:rFonts w:hint="eastAsia" w:ascii="黑体" w:hAnsi="黑体" w:eastAsia="黑体" w:cs="黑体"/>
          <w:b w:val="0"/>
          <w:bCs w:val="0"/>
          <w:sz w:val="32"/>
          <w:szCs w:val="32"/>
        </w:rPr>
        <w:tab/>
      </w:r>
    </w:p>
    <w:p>
      <w:pPr>
        <w:spacing w:line="600" w:lineRule="exact"/>
        <w:ind w:firstLine="640" w:firstLineChars="200"/>
        <w:rPr>
          <w:ins w:id="53" w:author="优钵罗华86nlss" w:date="2023-06-20T16:33:19Z"/>
          <w:rFonts w:hint="eastAsia" w:ascii="仿宋_GB2312" w:hAnsi="仿宋_GB2312" w:eastAsia="仿宋_GB2312" w:cs="仿宋_GB2312"/>
          <w:sz w:val="32"/>
          <w:szCs w:val="32"/>
        </w:rPr>
      </w:pPr>
      <w:r>
        <w:rPr>
          <w:rFonts w:hint="eastAsia" w:ascii="仿宋_GB2312" w:hAnsi="仿宋_GB2312" w:eastAsia="仿宋_GB2312" w:cs="仿宋_GB2312"/>
          <w:color w:val="0000FF"/>
          <w:sz w:val="32"/>
          <w:szCs w:val="32"/>
          <w:rPrChange w:id="54" w:author="user" w:date="2023-09-08T10:48:44Z">
            <w:rPr>
              <w:rFonts w:hint="eastAsia" w:ascii="仿宋_GB2312" w:hAnsi="仿宋_GB2312" w:eastAsia="仿宋_GB2312" w:cs="仿宋_GB2312"/>
              <w:sz w:val="32"/>
              <w:szCs w:val="32"/>
            </w:rPr>
          </w:rPrChange>
        </w:rPr>
        <w:t>2021年一般公共预算财政拨款基本支出941.6</w:t>
      </w:r>
      <w:ins w:id="55" w:author="user" w:date="2023-09-08T11:10:47Z">
        <w:r>
          <w:rPr>
            <w:rFonts w:hint="eastAsia" w:ascii="仿宋_GB2312" w:hAnsi="仿宋_GB2312" w:eastAsia="仿宋_GB2312" w:cs="仿宋_GB2312"/>
            <w:color w:val="0000FF"/>
            <w:sz w:val="32"/>
            <w:szCs w:val="32"/>
            <w:lang w:val="en-US" w:eastAsia="zh-CN"/>
          </w:rPr>
          <w:t>9</w:t>
        </w:r>
      </w:ins>
      <w:del w:id="56" w:author="user" w:date="2023-09-08T11:08:05Z">
        <w:r>
          <w:rPr>
            <w:rFonts w:hint="eastAsia" w:ascii="仿宋_GB2312" w:hAnsi="仿宋_GB2312" w:eastAsia="仿宋_GB2312" w:cs="仿宋_GB2312"/>
            <w:color w:val="0000FF"/>
            <w:sz w:val="32"/>
            <w:szCs w:val="32"/>
            <w:rPrChange w:id="57" w:author="user" w:date="2023-09-08T10:48:44Z">
              <w:rPr>
                <w:rFonts w:hint="eastAsia" w:ascii="仿宋_GB2312" w:hAnsi="仿宋_GB2312" w:eastAsia="仿宋_GB2312" w:cs="仿宋_GB2312"/>
                <w:sz w:val="32"/>
                <w:szCs w:val="32"/>
              </w:rPr>
            </w:rPrChange>
          </w:rPr>
          <w:delText>9</w:delText>
        </w:r>
      </w:del>
      <w:r>
        <w:rPr>
          <w:rFonts w:hint="eastAsia" w:ascii="仿宋_GB2312" w:hAnsi="仿宋_GB2312" w:eastAsia="仿宋_GB2312" w:cs="仿宋_GB2312"/>
          <w:color w:val="0000FF"/>
          <w:sz w:val="32"/>
          <w:szCs w:val="32"/>
          <w:rPrChange w:id="58" w:author="user" w:date="2023-09-08T10:48:44Z">
            <w:rPr>
              <w:rFonts w:hint="eastAsia" w:ascii="仿宋_GB2312" w:hAnsi="仿宋_GB2312" w:eastAsia="仿宋_GB2312" w:cs="仿宋_GB2312"/>
              <w:sz w:val="32"/>
              <w:szCs w:val="32"/>
            </w:rPr>
          </w:rPrChange>
        </w:rPr>
        <w:t>万元，其中：人员经费</w:t>
      </w:r>
      <w:del w:id="59" w:author="user" w:date="2023-09-08T11:08:12Z">
        <w:r>
          <w:rPr>
            <w:rFonts w:hint="default" w:ascii="仿宋_GB2312" w:hAnsi="仿宋_GB2312" w:eastAsia="仿宋_GB2312" w:cs="仿宋_GB2312"/>
            <w:color w:val="0000FF"/>
            <w:sz w:val="32"/>
            <w:szCs w:val="32"/>
            <w:rPrChange w:id="60" w:author="user" w:date="2023-09-08T10:48:44Z">
              <w:rPr>
                <w:rFonts w:hint="eastAsia" w:ascii="仿宋_GB2312" w:hAnsi="仿宋_GB2312" w:eastAsia="仿宋_GB2312" w:cs="仿宋_GB2312"/>
                <w:sz w:val="32"/>
                <w:szCs w:val="32"/>
              </w:rPr>
            </w:rPrChange>
          </w:rPr>
          <w:delText>646.53</w:delText>
        </w:r>
      </w:del>
      <w:ins w:id="61" w:author="user" w:date="2023-09-08T11:08:12Z">
        <w:r>
          <w:rPr>
            <w:rFonts w:hint="eastAsia" w:ascii="仿宋_GB2312" w:hAnsi="仿宋_GB2312" w:eastAsia="仿宋_GB2312" w:cs="仿宋_GB2312"/>
            <w:color w:val="0000FF"/>
            <w:sz w:val="32"/>
            <w:szCs w:val="32"/>
            <w:lang w:eastAsia="zh-CN"/>
          </w:rPr>
          <w:t>7</w:t>
        </w:r>
      </w:ins>
      <w:ins w:id="62" w:author="user" w:date="2023-09-08T11:08:13Z">
        <w:r>
          <w:rPr>
            <w:rFonts w:hint="eastAsia" w:ascii="仿宋_GB2312" w:hAnsi="仿宋_GB2312" w:eastAsia="仿宋_GB2312" w:cs="仿宋_GB2312"/>
            <w:color w:val="0000FF"/>
            <w:sz w:val="32"/>
            <w:szCs w:val="32"/>
            <w:lang w:val="en-US" w:eastAsia="zh-CN"/>
          </w:rPr>
          <w:t>32.</w:t>
        </w:r>
      </w:ins>
      <w:ins w:id="63" w:author="user" w:date="2023-09-08T11:08:14Z">
        <w:r>
          <w:rPr>
            <w:rFonts w:hint="eastAsia" w:ascii="仿宋_GB2312" w:hAnsi="仿宋_GB2312" w:eastAsia="仿宋_GB2312" w:cs="仿宋_GB2312"/>
            <w:color w:val="0000FF"/>
            <w:sz w:val="32"/>
            <w:szCs w:val="32"/>
            <w:lang w:val="en-US" w:eastAsia="zh-CN"/>
          </w:rPr>
          <w:t>59</w:t>
        </w:r>
      </w:ins>
      <w:r>
        <w:rPr>
          <w:rFonts w:hint="eastAsia" w:ascii="仿宋_GB2312" w:hAnsi="仿宋_GB2312" w:eastAsia="仿宋_GB2312" w:cs="仿宋_GB2312"/>
          <w:color w:val="0000FF"/>
          <w:sz w:val="32"/>
          <w:szCs w:val="32"/>
          <w:rPrChange w:id="64" w:author="user" w:date="2023-09-08T10:48:44Z">
            <w:rPr>
              <w:rFonts w:hint="eastAsia" w:ascii="仿宋_GB2312" w:hAnsi="仿宋_GB2312" w:eastAsia="仿宋_GB2312" w:cs="仿宋_GB2312"/>
              <w:sz w:val="32"/>
              <w:szCs w:val="32"/>
            </w:rPr>
          </w:rPrChange>
        </w:rPr>
        <w:t>万元，</w:t>
      </w:r>
      <w:r>
        <w:rPr>
          <w:rFonts w:hint="eastAsia" w:ascii="仿宋_GB2312" w:hAnsi="仿宋_GB2312" w:eastAsia="仿宋_GB2312" w:cs="仿宋_GB2312"/>
          <w:sz w:val="32"/>
          <w:szCs w:val="32"/>
        </w:rPr>
        <w:t>主要包括：基本工资、津贴补贴、奖金、</w:t>
      </w:r>
      <w:r>
        <w:rPr>
          <w:rFonts w:hint="eastAsia" w:ascii="仿宋_GB2312" w:hAnsi="仿宋_GB2312" w:eastAsia="仿宋_GB2312" w:cs="仿宋_GB2312"/>
          <w:sz w:val="32"/>
          <w:szCs w:val="32"/>
          <w:lang w:eastAsia="zh-CN"/>
        </w:rPr>
        <w:t>绩效工资、</w:t>
      </w:r>
      <w:r>
        <w:rPr>
          <w:rFonts w:hint="eastAsia" w:ascii="仿宋_GB2312" w:hAnsi="仿宋_GB2312" w:eastAsia="仿宋_GB2312" w:cs="仿宋_GB2312"/>
          <w:sz w:val="32"/>
          <w:szCs w:val="32"/>
        </w:rPr>
        <w:t>绩效工资、机关事业单位基本养老保险缴费、职业年金缴费、</w:t>
      </w:r>
      <w:r>
        <w:rPr>
          <w:rFonts w:hint="eastAsia" w:ascii="仿宋" w:hAnsi="仿宋" w:eastAsia="仿宋" w:cs="仿宋"/>
          <w:i w:val="0"/>
          <w:iCs w:val="0"/>
          <w:color w:val="000000"/>
          <w:kern w:val="0"/>
          <w:sz w:val="32"/>
          <w:szCs w:val="32"/>
          <w:u w:val="none"/>
          <w:lang w:val="en-US" w:eastAsia="zh-CN" w:bidi="ar"/>
        </w:rPr>
        <w:t>职工基本医疗保险缴费、</w:t>
      </w:r>
      <w:r>
        <w:rPr>
          <w:rFonts w:hint="eastAsia" w:ascii="仿宋_GB2312" w:hAnsi="仿宋_GB2312" w:eastAsia="仿宋_GB2312" w:cs="仿宋_GB2312"/>
          <w:sz w:val="32"/>
          <w:szCs w:val="32"/>
        </w:rPr>
        <w:t>其他社会保障缴费、</w:t>
      </w:r>
      <w:del w:id="65" w:author="user" w:date="2023-09-11T10:30:36Z">
        <w:r>
          <w:rPr>
            <w:rFonts w:hint="eastAsia" w:ascii="仿宋_GB2312" w:hAnsi="仿宋_GB2312" w:eastAsia="仿宋_GB2312" w:cs="仿宋_GB2312"/>
            <w:sz w:val="32"/>
            <w:szCs w:val="32"/>
          </w:rPr>
          <w:delText>离休费、退休费、</w:delText>
        </w:r>
      </w:del>
      <w:r>
        <w:rPr>
          <w:rFonts w:hint="eastAsia" w:ascii="仿宋_GB2312" w:hAnsi="仿宋_GB2312" w:eastAsia="仿宋_GB2312" w:cs="仿宋_GB2312"/>
          <w:sz w:val="32"/>
          <w:szCs w:val="32"/>
        </w:rPr>
        <w:t>抚恤金、生活补助、</w:t>
      </w:r>
      <w:del w:id="66" w:author="user" w:date="2023-09-11T08:47:46Z">
        <w:r>
          <w:rPr>
            <w:rFonts w:hint="eastAsia" w:ascii="仿宋_GB2312" w:hAnsi="仿宋_GB2312" w:eastAsia="仿宋_GB2312" w:cs="仿宋_GB2312"/>
            <w:sz w:val="32"/>
            <w:szCs w:val="32"/>
          </w:rPr>
          <w:delText>医疗费补助、</w:delText>
        </w:r>
      </w:del>
      <w:r>
        <w:rPr>
          <w:rFonts w:hint="eastAsia" w:ascii="仿宋_GB2312" w:hAnsi="仿宋_GB2312" w:eastAsia="仿宋_GB2312" w:cs="仿宋_GB2312"/>
          <w:sz w:val="32"/>
          <w:szCs w:val="32"/>
        </w:rPr>
        <w:t>奖励金、住房公积金、其他工资福利支出</w:t>
      </w:r>
      <w:r>
        <w:rPr>
          <w:rFonts w:hint="eastAsia" w:ascii="仿宋_GB2312" w:hAnsi="仿宋_GB2312" w:eastAsia="仿宋_GB2312" w:cs="仿宋_GB2312"/>
          <w:sz w:val="32"/>
          <w:szCs w:val="32"/>
          <w:lang w:eastAsia="zh-CN"/>
        </w:rPr>
        <w:t>、其他</w:t>
      </w:r>
      <w:del w:id="67" w:author="user" w:date="2023-09-11T08:47:54Z">
        <w:r>
          <w:rPr>
            <w:rFonts w:hint="eastAsia" w:ascii="仿宋_GB2312" w:hAnsi="仿宋_GB2312" w:eastAsia="仿宋_GB2312" w:cs="仿宋_GB2312"/>
            <w:sz w:val="32"/>
            <w:szCs w:val="32"/>
          </w:rPr>
          <w:delText>他</w:delText>
        </w:r>
      </w:del>
      <w:r>
        <w:rPr>
          <w:rFonts w:hint="eastAsia" w:ascii="仿宋_GB2312" w:hAnsi="仿宋_GB2312" w:eastAsia="仿宋_GB2312" w:cs="仿宋_GB2312"/>
          <w:sz w:val="32"/>
          <w:szCs w:val="32"/>
        </w:rPr>
        <w:t>对个人和家庭的补助支出等。</w:t>
      </w:r>
    </w:p>
    <w:p>
      <w:pPr>
        <w:spacing w:line="600" w:lineRule="exact"/>
        <w:ind w:firstLine="640" w:firstLineChars="200"/>
        <w:rPr>
          <w:rFonts w:hint="eastAsia" w:ascii="仿宋_GB2312" w:hAnsi="仿宋_GB2312" w:eastAsia="仿宋_GB2312" w:cs="仿宋_GB2312"/>
          <w:sz w:val="32"/>
          <w:szCs w:val="32"/>
        </w:rPr>
      </w:pP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公用经费</w:t>
      </w:r>
      <w:del w:id="68" w:author="user" w:date="2023-09-08T11:08:21Z">
        <w:r>
          <w:rPr>
            <w:rFonts w:hint="default" w:ascii="仿宋_GB2312" w:hAnsi="仿宋_GB2312" w:eastAsia="仿宋_GB2312" w:cs="仿宋_GB2312"/>
            <w:sz w:val="32"/>
            <w:szCs w:val="32"/>
            <w:lang w:val="en-US"/>
          </w:rPr>
          <w:delText>295.16</w:delText>
        </w:r>
      </w:del>
      <w:ins w:id="69" w:author="user" w:date="2023-09-08T11:08:21Z">
        <w:r>
          <w:rPr>
            <w:rFonts w:hint="eastAsia" w:ascii="仿宋_GB2312" w:hAnsi="仿宋_GB2312" w:eastAsia="仿宋_GB2312" w:cs="仿宋_GB2312"/>
            <w:sz w:val="32"/>
            <w:szCs w:val="32"/>
            <w:lang w:val="en-US" w:eastAsia="zh-CN"/>
          </w:rPr>
          <w:t>20</w:t>
        </w:r>
      </w:ins>
      <w:ins w:id="70" w:author="user" w:date="2023-09-08T11:08:22Z">
        <w:r>
          <w:rPr>
            <w:rFonts w:hint="eastAsia" w:ascii="仿宋_GB2312" w:hAnsi="仿宋_GB2312" w:eastAsia="仿宋_GB2312" w:cs="仿宋_GB2312"/>
            <w:sz w:val="32"/>
            <w:szCs w:val="32"/>
            <w:lang w:val="en-US" w:eastAsia="zh-CN"/>
          </w:rPr>
          <w:t>9.</w:t>
        </w:r>
      </w:ins>
      <w:ins w:id="71" w:author="user" w:date="2023-09-08T11:10:59Z">
        <w:r>
          <w:rPr>
            <w:rFonts w:hint="eastAsia" w:ascii="仿宋_GB2312" w:hAnsi="仿宋_GB2312" w:eastAsia="仿宋_GB2312" w:cs="仿宋_GB2312"/>
            <w:sz w:val="32"/>
            <w:szCs w:val="32"/>
            <w:lang w:val="en-US" w:eastAsia="zh-CN"/>
          </w:rPr>
          <w:t>1</w:t>
        </w:r>
      </w:ins>
      <w:r>
        <w:rPr>
          <w:rFonts w:hint="eastAsia" w:ascii="仿宋_GB2312" w:hAnsi="仿宋_GB2312" w:eastAsia="仿宋_GB2312" w:cs="仿宋_GB2312"/>
          <w:sz w:val="32"/>
          <w:szCs w:val="32"/>
        </w:rPr>
        <w:t>万元，主要包括：办公费、印刷费、咨询费</w:t>
      </w:r>
      <w:del w:id="72" w:author="user" w:date="2023-09-11T08:48:15Z">
        <w:r>
          <w:rPr>
            <w:rFonts w:hint="eastAsia" w:ascii="仿宋_GB2312" w:hAnsi="仿宋_GB2312" w:eastAsia="仿宋_GB2312" w:cs="仿宋_GB2312"/>
            <w:sz w:val="32"/>
            <w:szCs w:val="32"/>
          </w:rPr>
          <w:delText>、</w:delText>
        </w:r>
      </w:del>
      <w:del w:id="73" w:author="user" w:date="2023-09-11T08:48:14Z">
        <w:r>
          <w:rPr>
            <w:rFonts w:hint="eastAsia" w:ascii="仿宋_GB2312" w:hAnsi="仿宋_GB2312" w:eastAsia="仿宋_GB2312" w:cs="仿宋_GB2312"/>
            <w:sz w:val="32"/>
            <w:szCs w:val="32"/>
          </w:rPr>
          <w:delText>手续费</w:delText>
        </w:r>
      </w:del>
      <w:r>
        <w:rPr>
          <w:rFonts w:hint="eastAsia" w:ascii="仿宋_GB2312" w:hAnsi="仿宋_GB2312" w:eastAsia="仿宋_GB2312" w:cs="仿宋_GB2312"/>
          <w:sz w:val="32"/>
          <w:szCs w:val="32"/>
        </w:rPr>
        <w:t>、水费、电费、邮电费、物业管理费、差旅费、维修（护）费、租赁费、会议费、培训费、公务接待费、劳务费、</w:t>
      </w:r>
      <w:del w:id="74" w:author="user" w:date="2023-09-11T08:48:23Z">
        <w:r>
          <w:rPr>
            <w:rFonts w:hint="eastAsia" w:ascii="仿宋_GB2312" w:hAnsi="仿宋_GB2312" w:eastAsia="仿宋_GB2312" w:cs="仿宋_GB2312"/>
            <w:sz w:val="32"/>
            <w:szCs w:val="32"/>
          </w:rPr>
          <w:delText>委托业务费、</w:delText>
        </w:r>
      </w:del>
      <w:r>
        <w:rPr>
          <w:rFonts w:hint="eastAsia" w:ascii="仿宋_GB2312" w:hAnsi="仿宋_GB2312" w:eastAsia="仿宋_GB2312" w:cs="仿宋_GB2312"/>
          <w:sz w:val="32"/>
          <w:szCs w:val="32"/>
        </w:rPr>
        <w:t>工会经费、福利费、公务用车运行维护费、其他交通</w:t>
      </w:r>
      <w:ins w:id="75" w:author="user" w:date="2023-09-11T08:53:10Z">
        <w:r>
          <w:rPr>
            <w:rFonts w:hint="eastAsia" w:ascii="仿宋_GB2312" w:hAnsi="仿宋_GB2312" w:eastAsia="仿宋_GB2312" w:cs="仿宋_GB2312"/>
            <w:sz w:val="32"/>
            <w:szCs w:val="32"/>
            <w:lang w:eastAsia="zh-CN"/>
          </w:rPr>
          <w:t>费</w:t>
        </w:r>
      </w:ins>
      <w:ins w:id="76" w:author="user" w:date="2023-09-11T10:31:12Z">
        <w:r>
          <w:rPr>
            <w:rFonts w:hint="eastAsia" w:ascii="仿宋_GB2312" w:hAnsi="仿宋_GB2312" w:eastAsia="仿宋_GB2312" w:cs="仿宋_GB2312"/>
            <w:sz w:val="32"/>
            <w:szCs w:val="32"/>
            <w:lang w:eastAsia="zh-CN"/>
          </w:rPr>
          <w:t>、</w:t>
        </w:r>
      </w:ins>
      <w:ins w:id="77" w:author="user" w:date="2023-09-11T10:31:08Z">
        <w:r>
          <w:rPr>
            <w:rFonts w:hint="eastAsia" w:ascii="仿宋_GB2312" w:hAnsi="仿宋_GB2312" w:eastAsia="仿宋_GB2312" w:cs="仿宋_GB2312"/>
            <w:sz w:val="32"/>
            <w:szCs w:val="32"/>
            <w:lang w:eastAsia="zh-CN"/>
          </w:rPr>
          <w:t>税金</w:t>
        </w:r>
      </w:ins>
      <w:ins w:id="78" w:author="user" w:date="2023-09-11T10:31:18Z">
        <w:r>
          <w:rPr>
            <w:rFonts w:hint="eastAsia" w:ascii="仿宋_GB2312" w:hAnsi="仿宋_GB2312" w:eastAsia="仿宋_GB2312" w:cs="仿宋_GB2312"/>
            <w:sz w:val="32"/>
            <w:szCs w:val="32"/>
            <w:lang w:eastAsia="zh-CN"/>
          </w:rPr>
          <w:t>及</w:t>
        </w:r>
      </w:ins>
      <w:ins w:id="79" w:author="user" w:date="2023-09-11T10:31:22Z">
        <w:r>
          <w:rPr>
            <w:rFonts w:hint="eastAsia" w:ascii="仿宋_GB2312" w:hAnsi="仿宋_GB2312" w:eastAsia="仿宋_GB2312" w:cs="仿宋_GB2312"/>
            <w:sz w:val="32"/>
            <w:szCs w:val="32"/>
            <w:lang w:eastAsia="zh-CN"/>
          </w:rPr>
          <w:t>附加</w:t>
        </w:r>
      </w:ins>
      <w:ins w:id="80" w:author="user" w:date="2023-09-11T10:31:23Z">
        <w:r>
          <w:rPr>
            <w:rFonts w:hint="eastAsia" w:ascii="仿宋_GB2312" w:hAnsi="仿宋_GB2312" w:eastAsia="仿宋_GB2312" w:cs="仿宋_GB2312"/>
            <w:sz w:val="32"/>
            <w:szCs w:val="32"/>
            <w:lang w:eastAsia="zh-CN"/>
          </w:rPr>
          <w:t>费用</w:t>
        </w:r>
      </w:ins>
      <w:del w:id="81" w:author="user" w:date="2023-09-11T08:53:08Z">
        <w:r>
          <w:rPr>
            <w:rFonts w:hint="eastAsia" w:ascii="仿宋_GB2312" w:hAnsi="仿宋_GB2312" w:eastAsia="仿宋_GB2312" w:cs="仿宋_GB2312"/>
            <w:sz w:val="32"/>
            <w:szCs w:val="32"/>
          </w:rPr>
          <w:delText>费</w:delText>
        </w:r>
      </w:del>
      <w:del w:id="82" w:author="user" w:date="2023-09-11T08:52:47Z">
        <w:r>
          <w:rPr>
            <w:rFonts w:hint="default" w:ascii="仿宋_GB2312" w:hAnsi="仿宋_GB2312" w:eastAsia="仿宋_GB2312" w:cs="仿宋_GB2312"/>
            <w:sz w:val="32"/>
            <w:szCs w:val="32"/>
            <w:lang w:val="en-US"/>
          </w:rPr>
          <w:delText>及附加费用</w:delText>
        </w:r>
      </w:del>
      <w:ins w:id="83" w:author="user" w:date="2023-09-11T08:53:01Z">
        <w:r>
          <w:rPr>
            <w:rFonts w:hint="eastAsia" w:ascii="仿宋_GB2312" w:hAnsi="仿宋_GB2312" w:eastAsia="仿宋_GB2312" w:cs="仿宋_GB2312"/>
            <w:sz w:val="32"/>
            <w:szCs w:val="32"/>
            <w:lang w:val="en-US" w:eastAsia="zh-CN"/>
          </w:rPr>
          <w:t>等</w:t>
        </w:r>
      </w:ins>
      <w:del w:id="84" w:author="user" w:date="2023-09-11T08:49:30Z">
        <w:r>
          <w:rPr>
            <w:rFonts w:hint="eastAsia" w:ascii="仿宋_GB2312" w:hAnsi="仿宋_GB2312" w:eastAsia="仿宋_GB2312" w:cs="仿宋_GB2312"/>
            <w:sz w:val="32"/>
            <w:szCs w:val="32"/>
          </w:rPr>
          <w:delText>、其他商品和服务支出、办公设备购置、信息网络及软件购置更新等</w:delText>
        </w:r>
      </w:del>
      <w:r>
        <w:rPr>
          <w:rFonts w:hint="eastAsia" w:ascii="仿宋_GB2312" w:hAnsi="仿宋_GB2312" w:eastAsia="仿宋_GB2312" w:cs="仿宋_GB2312"/>
          <w:sz w:val="32"/>
          <w:szCs w:val="32"/>
        </w:rPr>
        <w:t>。</w:t>
      </w:r>
      <w:bookmarkStart w:id="43" w:name="_Toc15377215"/>
      <w:bookmarkStart w:id="44" w:name="_Toc15396609"/>
    </w:p>
    <w:p>
      <w:pPr>
        <w:spacing w:line="600" w:lineRule="exact"/>
        <w:ind w:firstLine="640" w:firstLineChars="200"/>
        <w:rPr>
          <w:rStyle w:val="26"/>
          <w:rFonts w:hint="eastAsia" w:ascii="黑体" w:hAnsi="黑体" w:eastAsia="黑体" w:cs="黑体"/>
          <w:b w:val="0"/>
          <w:bCs w:val="0"/>
          <w:sz w:val="32"/>
          <w:szCs w:val="32"/>
        </w:rPr>
      </w:pPr>
      <w:r>
        <w:rPr>
          <w:rFonts w:hint="eastAsia" w:ascii="黑体" w:hAnsi="黑体" w:eastAsia="黑体" w:cs="黑体"/>
          <w:b w:val="0"/>
          <w:bCs w:val="0"/>
          <w:sz w:val="32"/>
          <w:szCs w:val="32"/>
        </w:rPr>
        <w:t>七、</w:t>
      </w:r>
      <w:r>
        <w:rPr>
          <w:rStyle w:val="26"/>
          <w:rFonts w:hint="eastAsia" w:ascii="黑体" w:hAnsi="黑体" w:eastAsia="黑体" w:cs="黑体"/>
          <w:b w:val="0"/>
          <w:bCs w:val="0"/>
          <w:sz w:val="32"/>
          <w:szCs w:val="32"/>
        </w:rPr>
        <w:t>“三公”经费财政拨款支出决算情况说明</w:t>
      </w:r>
      <w:bookmarkEnd w:id="43"/>
      <w:bookmarkEnd w:id="44"/>
    </w:p>
    <w:p>
      <w:pPr>
        <w:spacing w:line="600" w:lineRule="exact"/>
        <w:ind w:firstLine="640" w:firstLineChars="200"/>
        <w:outlineLvl w:val="2"/>
        <w:rPr>
          <w:rFonts w:hint="eastAsia" w:ascii="楷体_GB2312" w:hAnsi="楷体_GB2312" w:eastAsia="楷体_GB2312" w:cs="楷体_GB2312"/>
          <w:b w:val="0"/>
          <w:bCs/>
          <w:sz w:val="32"/>
          <w:szCs w:val="32"/>
        </w:rPr>
      </w:pPr>
      <w:bookmarkStart w:id="45" w:name="_Toc15377216"/>
      <w:r>
        <w:rPr>
          <w:rFonts w:hint="eastAsia" w:ascii="楷体_GB2312" w:hAnsi="楷体_GB2312" w:eastAsia="楷体_GB2312" w:cs="楷体_GB2312"/>
          <w:b w:val="0"/>
          <w:bCs/>
          <w:sz w:val="32"/>
          <w:szCs w:val="32"/>
        </w:rPr>
        <w:t>（一）“三公”经费财政拨款支出决算总体情况说明</w:t>
      </w:r>
      <w:bookmarkEnd w:id="45"/>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FF"/>
          <w:sz w:val="32"/>
          <w:szCs w:val="32"/>
          <w:rPrChange w:id="85" w:author="user" w:date="2023-09-08T10:50:43Z">
            <w:rPr>
              <w:rFonts w:hint="eastAsia" w:ascii="仿宋_GB2312" w:hAnsi="仿宋_GB2312" w:eastAsia="仿宋_GB2312" w:cs="仿宋_GB2312"/>
              <w:sz w:val="32"/>
              <w:szCs w:val="32"/>
            </w:rPr>
          </w:rPrChange>
        </w:rPr>
        <w:t>2021年“三公”经费财政拨款支出决算为</w:t>
      </w:r>
      <w:r>
        <w:rPr>
          <w:rFonts w:hint="eastAsia" w:ascii="仿宋_GB2312" w:hAnsi="仿宋_GB2312" w:eastAsia="仿宋_GB2312" w:cs="仿宋_GB2312"/>
          <w:color w:val="0000FF"/>
          <w:sz w:val="32"/>
          <w:szCs w:val="32"/>
          <w:lang w:val="en-US" w:eastAsia="zh-CN"/>
          <w:rPrChange w:id="86" w:author="user" w:date="2023-09-08T10:50:43Z">
            <w:rPr>
              <w:rFonts w:hint="eastAsia" w:ascii="仿宋_GB2312" w:hAnsi="仿宋_GB2312" w:eastAsia="仿宋_GB2312" w:cs="仿宋_GB2312"/>
              <w:sz w:val="32"/>
              <w:szCs w:val="32"/>
              <w:lang w:val="en-US" w:eastAsia="zh-CN"/>
            </w:rPr>
          </w:rPrChange>
        </w:rPr>
        <w:t>8.58</w:t>
      </w:r>
      <w:r>
        <w:rPr>
          <w:rFonts w:hint="eastAsia" w:ascii="仿宋_GB2312" w:hAnsi="仿宋_GB2312" w:eastAsia="仿宋_GB2312" w:cs="仿宋_GB2312"/>
          <w:color w:val="0000FF"/>
          <w:sz w:val="32"/>
          <w:szCs w:val="32"/>
          <w:rPrChange w:id="87" w:author="user" w:date="2023-09-08T10:50:43Z">
            <w:rPr>
              <w:rFonts w:hint="eastAsia" w:ascii="仿宋_GB2312" w:hAnsi="仿宋_GB2312" w:eastAsia="仿宋_GB2312" w:cs="仿宋_GB2312"/>
              <w:sz w:val="32"/>
              <w:szCs w:val="32"/>
            </w:rPr>
          </w:rPrChange>
        </w:rPr>
        <w:t>万元，完成预算</w:t>
      </w:r>
      <w:r>
        <w:rPr>
          <w:rFonts w:hint="eastAsia" w:ascii="仿宋_GB2312" w:hAnsi="仿宋_GB2312" w:eastAsia="仿宋_GB2312" w:cs="仿宋_GB2312"/>
          <w:color w:val="0000FF"/>
          <w:sz w:val="32"/>
          <w:szCs w:val="32"/>
          <w:lang w:val="en-US" w:eastAsia="zh-CN"/>
          <w:rPrChange w:id="88" w:author="user" w:date="2023-09-08T10:50:43Z">
            <w:rPr>
              <w:rFonts w:hint="eastAsia" w:ascii="仿宋_GB2312" w:hAnsi="仿宋_GB2312" w:eastAsia="仿宋_GB2312" w:cs="仿宋_GB2312"/>
              <w:sz w:val="32"/>
              <w:szCs w:val="32"/>
              <w:lang w:val="en-US" w:eastAsia="zh-CN"/>
            </w:rPr>
          </w:rPrChange>
        </w:rPr>
        <w:t>61</w:t>
      </w:r>
      <w:ins w:id="89" w:author="user" w:date="2023-09-08T10:50:36Z">
        <w:r>
          <w:rPr>
            <w:rFonts w:hint="eastAsia" w:ascii="仿宋_GB2312" w:hAnsi="仿宋_GB2312" w:eastAsia="仿宋_GB2312" w:cs="仿宋_GB2312"/>
            <w:color w:val="0000FF"/>
            <w:sz w:val="32"/>
            <w:szCs w:val="32"/>
            <w:lang w:val="en-US" w:eastAsia="zh-CN"/>
            <w:rPrChange w:id="90" w:author="user" w:date="2023-09-08T10:50:43Z">
              <w:rPr>
                <w:rFonts w:hint="eastAsia" w:ascii="仿宋_GB2312" w:hAnsi="仿宋_GB2312" w:eastAsia="仿宋_GB2312" w:cs="仿宋_GB2312"/>
                <w:sz w:val="32"/>
                <w:szCs w:val="32"/>
                <w:lang w:val="en-US" w:eastAsia="zh-CN"/>
              </w:rPr>
            </w:rPrChange>
          </w:rPr>
          <w:t>.</w:t>
        </w:r>
      </w:ins>
      <w:ins w:id="91" w:author="user" w:date="2023-09-08T10:50:37Z">
        <w:r>
          <w:rPr>
            <w:rFonts w:hint="eastAsia" w:ascii="仿宋_GB2312" w:hAnsi="仿宋_GB2312" w:eastAsia="仿宋_GB2312" w:cs="仿宋_GB2312"/>
            <w:color w:val="0000FF"/>
            <w:sz w:val="32"/>
            <w:szCs w:val="32"/>
            <w:lang w:val="en-US" w:eastAsia="zh-CN"/>
            <w:rPrChange w:id="92" w:author="user" w:date="2023-09-08T10:50:43Z">
              <w:rPr>
                <w:rFonts w:hint="eastAsia" w:ascii="仿宋_GB2312" w:hAnsi="仿宋_GB2312" w:eastAsia="仿宋_GB2312" w:cs="仿宋_GB2312"/>
                <w:sz w:val="32"/>
                <w:szCs w:val="32"/>
                <w:lang w:val="en-US" w:eastAsia="zh-CN"/>
              </w:rPr>
            </w:rPrChange>
          </w:rPr>
          <w:t>28</w:t>
        </w:r>
      </w:ins>
      <w:r>
        <w:rPr>
          <w:rFonts w:hint="eastAsia" w:ascii="仿宋_GB2312" w:hAnsi="仿宋_GB2312" w:eastAsia="仿宋_GB2312" w:cs="仿宋_GB2312"/>
          <w:color w:val="0000FF"/>
          <w:sz w:val="32"/>
          <w:szCs w:val="32"/>
          <w:rPrChange w:id="93" w:author="user" w:date="2023-09-08T10:50:43Z">
            <w:rPr>
              <w:rFonts w:hint="eastAsia" w:ascii="仿宋_GB2312" w:hAnsi="仿宋_GB2312" w:eastAsia="仿宋_GB2312" w:cs="仿宋_GB2312"/>
              <w:sz w:val="32"/>
              <w:szCs w:val="32"/>
            </w:rPr>
          </w:rPrChange>
        </w:rPr>
        <w:t>%，决算数小于预算数的主要原因是过“紧日子”，厉行节约，压缩开支。</w:t>
      </w:r>
    </w:p>
    <w:p>
      <w:pPr>
        <w:spacing w:line="600" w:lineRule="exact"/>
        <w:ind w:firstLine="640" w:firstLineChars="200"/>
        <w:outlineLvl w:val="2"/>
        <w:rPr>
          <w:rFonts w:hint="eastAsia" w:ascii="楷体_GB2312" w:hAnsi="楷体_GB2312" w:eastAsia="楷体_GB2312" w:cs="楷体_GB2312"/>
          <w:b w:val="0"/>
          <w:bCs/>
          <w:sz w:val="32"/>
          <w:szCs w:val="32"/>
        </w:rPr>
      </w:pPr>
      <w:bookmarkStart w:id="46" w:name="_Toc15377217"/>
      <w:r>
        <w:rPr>
          <w:rFonts w:hint="eastAsia" w:ascii="楷体_GB2312" w:hAnsi="楷体_GB2312" w:eastAsia="楷体_GB2312" w:cs="楷体_GB2312"/>
          <w:b w:val="0"/>
          <w:bCs/>
          <w:sz w:val="32"/>
          <w:szCs w:val="32"/>
        </w:rPr>
        <w:t>（二）“三公”经费财政拨款支出决算具体情况说明</w:t>
      </w:r>
      <w:bookmarkEnd w:id="46"/>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2021年“三公”经费财政拨款支出决算中，因公出国（境）费支出决算0万元；公务用车购置及运行维护费支出决算6.82万元，占</w:t>
      </w:r>
      <w:del w:id="94" w:author="user" w:date="2023-09-11T08:54:38Z">
        <w:r>
          <w:rPr>
            <w:rFonts w:hint="default" w:ascii="仿宋_GB2312" w:hAnsi="仿宋_GB2312" w:eastAsia="仿宋_GB2312" w:cs="仿宋_GB2312"/>
            <w:sz w:val="32"/>
            <w:szCs w:val="32"/>
            <w:lang w:val="en-US"/>
          </w:rPr>
          <w:delText>48.71</w:delText>
        </w:r>
      </w:del>
      <w:ins w:id="95" w:author="user" w:date="2023-09-11T08:54:38Z">
        <w:r>
          <w:rPr>
            <w:rFonts w:hint="eastAsia" w:ascii="仿宋_GB2312" w:hAnsi="仿宋_GB2312" w:eastAsia="仿宋_GB2312" w:cs="仿宋_GB2312"/>
            <w:sz w:val="32"/>
            <w:szCs w:val="32"/>
            <w:lang w:val="en-US" w:eastAsia="zh-CN"/>
          </w:rPr>
          <w:t>79</w:t>
        </w:r>
      </w:ins>
      <w:ins w:id="96" w:author="user" w:date="2023-09-11T08:54:39Z">
        <w:r>
          <w:rPr>
            <w:rFonts w:hint="eastAsia" w:ascii="仿宋_GB2312" w:hAnsi="仿宋_GB2312" w:eastAsia="仿宋_GB2312" w:cs="仿宋_GB2312"/>
            <w:sz w:val="32"/>
            <w:szCs w:val="32"/>
            <w:lang w:val="en-US" w:eastAsia="zh-CN"/>
          </w:rPr>
          <w:t>.5</w:t>
        </w:r>
      </w:ins>
      <w:r>
        <w:rPr>
          <w:rFonts w:hint="eastAsia" w:ascii="仿宋_GB2312" w:hAnsi="仿宋_GB2312" w:eastAsia="仿宋_GB2312" w:cs="仿宋_GB2312"/>
          <w:sz w:val="32"/>
          <w:szCs w:val="32"/>
        </w:rPr>
        <w:t>%；公务接待费支出决算1.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6万元，占</w:t>
      </w:r>
      <w:del w:id="97" w:author="user" w:date="2023-09-11T08:55:16Z">
        <w:r>
          <w:rPr>
            <w:rFonts w:hint="default" w:ascii="仿宋_GB2312" w:hAnsi="仿宋_GB2312" w:eastAsia="仿宋_GB2312" w:cs="仿宋_GB2312"/>
            <w:sz w:val="32"/>
            <w:szCs w:val="32"/>
            <w:lang w:val="en-US" w:eastAsia="zh-CN"/>
          </w:rPr>
          <w:delText>12.57</w:delText>
        </w:r>
      </w:del>
      <w:ins w:id="98" w:author="user" w:date="2023-09-11T08:55:16Z">
        <w:r>
          <w:rPr>
            <w:rFonts w:hint="eastAsia" w:ascii="仿宋_GB2312" w:hAnsi="仿宋_GB2312" w:eastAsia="仿宋_GB2312" w:cs="仿宋_GB2312"/>
            <w:sz w:val="32"/>
            <w:szCs w:val="32"/>
            <w:lang w:val="en-US" w:eastAsia="zh-CN"/>
          </w:rPr>
          <w:t>20.5</w:t>
        </w:r>
      </w:ins>
      <w:r>
        <w:rPr>
          <w:rFonts w:hint="eastAsia" w:ascii="仿宋_GB2312" w:hAnsi="仿宋_GB2312" w:eastAsia="仿宋_GB2312" w:cs="仿宋_GB2312"/>
          <w:sz w:val="32"/>
          <w:szCs w:val="32"/>
        </w:rPr>
        <w:t>%。具体情况如下：</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（图7：“三公”经费财政拨款支出结构）（饼状图）</w:t>
      </w:r>
    </w:p>
    <w:p>
      <w:pPr>
        <w:pStyle w:val="2"/>
        <w:rPr>
          <w:rFonts w:hint="eastAsia"/>
        </w:rPr>
      </w:pPr>
      <w:r>
        <w:rPr>
          <w:rFonts w:hint="eastAsia" w:ascii="仿宋_GB2312" w:hAnsi="仿宋_GB2312" w:eastAsia="仿宋_GB2312" w:cs="仿宋_GB2312"/>
          <w:b/>
          <w:color w:val="000000"/>
          <w:sz w:val="30"/>
          <w:szCs w:val="30"/>
        </w:rPr>
        <w:pict>
          <v:shape id="_x0000_s1034" o:spid="_x0000_s1034" o:spt="75" type="#_x0000_t75" style="position:absolute;left:0pt;margin-left:15.75pt;margin-top:7.2pt;height:270.05pt;width:444.1pt;z-index:251667456;mso-width-relative:page;mso-height-relative:page;" o:ole="t" filled="f" o:preferrelative="t" stroked="f" coordsize="21600,21600">
            <v:path/>
            <v:fill on="f" focussize="0,0"/>
            <v:stroke on="f"/>
            <v:imagedata r:id="rId20" o:title=""/>
            <o:lock v:ext="edit" aspectratio="t"/>
          </v:shape>
          <o:OLEObject Type="Embed" ProgID="MSGraph.Chart.8" ShapeID="_x0000_s1034" DrawAspect="Content" ObjectID="_1468075731" r:id="rId19">
            <o:LockedField>false</o:LockedField>
          </o:OLEObject>
        </w:pict>
      </w:r>
    </w:p>
    <w:p>
      <w:pPr>
        <w:pStyle w:val="2"/>
        <w:rPr>
          <w:rFonts w:hint="eastAsia" w:ascii="仿宋_GB2312" w:hAnsi="仿宋_GB2312" w:eastAsia="仿宋_GB2312" w:cs="仿宋_GB2312"/>
          <w:sz w:val="30"/>
          <w:szCs w:val="30"/>
        </w:rPr>
      </w:pPr>
    </w:p>
    <w:p>
      <w:pPr>
        <w:pStyle w:val="2"/>
        <w:rPr>
          <w:rFonts w:hint="eastAsia" w:ascii="仿宋_GB2312" w:hAnsi="仿宋_GB2312" w:eastAsia="仿宋_GB2312" w:cs="仿宋_GB2312"/>
          <w:sz w:val="30"/>
          <w:szCs w:val="30"/>
        </w:rPr>
      </w:pPr>
    </w:p>
    <w:p>
      <w:pPr>
        <w:pStyle w:val="2"/>
        <w:spacing w:before="93"/>
        <w:rPr>
          <w:rFonts w:hint="eastAsia" w:ascii="仿宋_GB2312" w:hAnsi="仿宋_GB2312" w:eastAsia="仿宋_GB2312" w:cs="仿宋_GB2312"/>
          <w:sz w:val="30"/>
          <w:szCs w:val="30"/>
        </w:rPr>
      </w:pPr>
    </w:p>
    <w:p>
      <w:pPr>
        <w:pStyle w:val="2"/>
        <w:spacing w:before="93"/>
        <w:rPr>
          <w:rFonts w:hint="eastAsia" w:ascii="仿宋_GB2312" w:hAnsi="仿宋_GB2312" w:eastAsia="仿宋_GB2312" w:cs="仿宋_GB2312"/>
          <w:sz w:val="30"/>
          <w:szCs w:val="30"/>
        </w:rPr>
      </w:pPr>
    </w:p>
    <w:p>
      <w:pPr>
        <w:pStyle w:val="2"/>
        <w:spacing w:before="93"/>
        <w:rPr>
          <w:rFonts w:hint="eastAsia" w:ascii="仿宋_GB2312" w:hAnsi="仿宋_GB2312" w:eastAsia="仿宋_GB2312" w:cs="仿宋_GB2312"/>
          <w:sz w:val="30"/>
          <w:szCs w:val="30"/>
        </w:rPr>
      </w:pPr>
    </w:p>
    <w:p>
      <w:pPr>
        <w:pStyle w:val="2"/>
        <w:spacing w:before="93"/>
        <w:rPr>
          <w:rFonts w:hint="eastAsia" w:ascii="仿宋_GB2312" w:hAnsi="仿宋_GB2312" w:eastAsia="仿宋_GB2312" w:cs="仿宋_GB2312"/>
          <w:sz w:val="30"/>
          <w:szCs w:val="30"/>
        </w:rPr>
      </w:pPr>
    </w:p>
    <w:p>
      <w:pPr>
        <w:spacing w:line="600" w:lineRule="exact"/>
        <w:ind w:firstLine="642" w:firstLineChars="200"/>
        <w:rPr>
          <w:rFonts w:hint="eastAsia" w:ascii="仿宋_GB2312" w:hAnsi="仿宋_GB2312" w:eastAsia="仿宋_GB2312" w:cs="仿宋_GB2312"/>
          <w:b/>
          <w:sz w:val="32"/>
          <w:szCs w:val="32"/>
        </w:rPr>
      </w:pPr>
    </w:p>
    <w:p>
      <w:pPr>
        <w:spacing w:line="60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1.因公出国（境）经费支出</w:t>
      </w:r>
      <w:r>
        <w:rPr>
          <w:rFonts w:hint="eastAsia" w:ascii="仿宋_GB2312" w:hAnsi="仿宋_GB2312" w:eastAsia="仿宋_GB2312" w:cs="仿宋_GB2312"/>
          <w:sz w:val="32"/>
          <w:szCs w:val="32"/>
        </w:rPr>
        <w:t>0万元</w:t>
      </w:r>
      <w:r>
        <w:rPr>
          <w:rStyle w:val="14"/>
          <w:rFonts w:hint="eastAsia" w:ascii="仿宋_GB2312" w:hAnsi="仿宋_GB2312" w:eastAsia="仿宋_GB2312" w:cs="仿宋_GB2312"/>
          <w:b w:val="0"/>
          <w:bCs/>
          <w:sz w:val="32"/>
          <w:szCs w:val="32"/>
        </w:rPr>
        <w:t>。</w:t>
      </w:r>
      <w:r>
        <w:rPr>
          <w:rFonts w:hint="eastAsia" w:ascii="仿宋_GB2312" w:hAnsi="仿宋_GB2312" w:eastAsia="仿宋_GB2312" w:cs="仿宋_GB2312"/>
          <w:sz w:val="32"/>
          <w:szCs w:val="32"/>
        </w:rPr>
        <w:t>年初未安排预算，因公出国（境）支出决算较2020年无变化</w:t>
      </w:r>
      <w:r>
        <w:rPr>
          <w:rStyle w:val="14"/>
          <w:rFonts w:hint="eastAsia" w:ascii="仿宋_GB2312" w:hAnsi="仿宋_GB2312" w:eastAsia="仿宋_GB2312" w:cs="仿宋_GB2312"/>
          <w:b w:val="0"/>
          <w:bCs/>
          <w:sz w:val="32"/>
          <w:szCs w:val="32"/>
        </w:rPr>
        <w:t>。</w:t>
      </w:r>
    </w:p>
    <w:p>
      <w:pPr>
        <w:spacing w:line="600" w:lineRule="exact"/>
        <w:ind w:firstLine="642"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2.公务用车购置及运行维护费支出</w:t>
      </w:r>
      <w:r>
        <w:rPr>
          <w:rFonts w:hint="eastAsia" w:ascii="仿宋_GB2312" w:hAnsi="仿宋_GB2312" w:eastAsia="仿宋_GB2312" w:cs="仿宋_GB2312"/>
          <w:sz w:val="32"/>
          <w:szCs w:val="32"/>
        </w:rPr>
        <w:t>6.82万元,</w:t>
      </w:r>
      <w:r>
        <w:rPr>
          <w:rStyle w:val="14"/>
          <w:rFonts w:hint="eastAsia" w:ascii="仿宋_GB2312" w:hAnsi="仿宋_GB2312" w:eastAsia="仿宋_GB2312" w:cs="仿宋_GB2312"/>
          <w:b w:val="0"/>
          <w:bCs/>
          <w:sz w:val="32"/>
          <w:szCs w:val="32"/>
        </w:rPr>
        <w:t>完成预算97%。</w:t>
      </w:r>
      <w:r>
        <w:rPr>
          <w:rFonts w:hint="eastAsia" w:ascii="仿宋_GB2312" w:hAnsi="仿宋_GB2312" w:eastAsia="仿宋_GB2312" w:cs="仿宋_GB2312"/>
          <w:sz w:val="32"/>
          <w:szCs w:val="32"/>
        </w:rPr>
        <w:t>公务用车购置0万元（无公务用车保有量）、运行维护费支出决算比2020年减少15.54万元，下降69.5%。主要原因是机构改革、“疾情”及压缩开支。</w:t>
      </w:r>
    </w:p>
    <w:p>
      <w:pPr>
        <w:spacing w:line="600" w:lineRule="exact"/>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其中：截至2021年12月底，单位共有公务用车</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辆，其中：轿车</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eastAsia="zh-CN"/>
        </w:rPr>
        <w:t>（含军改前</w:t>
      </w:r>
      <w:r>
        <w:rPr>
          <w:rFonts w:hint="eastAsia" w:ascii="仿宋_GB2312" w:hAnsi="仿宋_GB2312" w:eastAsia="仿宋_GB2312" w:cs="仿宋_GB2312"/>
          <w:sz w:val="32"/>
          <w:szCs w:val="32"/>
          <w:lang w:val="en-US" w:eastAsia="zh-CN"/>
        </w:rPr>
        <w:t>1辆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widowControl/>
        <w:spacing w:line="576" w:lineRule="exact"/>
        <w:ind w:firstLine="642"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b/>
          <w:sz w:val="32"/>
          <w:szCs w:val="32"/>
        </w:rPr>
        <w:t>公务用车运行维护费支出</w:t>
      </w:r>
      <w:r>
        <w:rPr>
          <w:rFonts w:hint="eastAsia" w:ascii="仿宋_GB2312" w:hAnsi="仿宋_GB2312" w:eastAsia="仿宋_GB2312" w:cs="仿宋_GB2312"/>
          <w:sz w:val="32"/>
          <w:szCs w:val="32"/>
        </w:rPr>
        <w:t>6.82万元。主要用于民政系统一般公务用车、低保走访、区划地名勘测、乡镇区划行政调整等所需的公务用车燃料费、租车费、维修费、过路过桥费、保险费支出。</w:t>
      </w:r>
    </w:p>
    <w:p>
      <w:pPr>
        <w:spacing w:line="60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3.公务接待费支出</w:t>
      </w:r>
      <w:r>
        <w:rPr>
          <w:rFonts w:hint="eastAsia" w:ascii="仿宋_GB2312" w:hAnsi="仿宋_GB2312" w:eastAsia="仿宋_GB2312" w:cs="仿宋_GB2312"/>
          <w:b/>
          <w:sz w:val="32"/>
          <w:szCs w:val="32"/>
          <w:lang w:val="en-US" w:eastAsia="zh-CN"/>
        </w:rPr>
        <w:t>1.76万</w:t>
      </w:r>
      <w:r>
        <w:rPr>
          <w:rFonts w:hint="eastAsia" w:ascii="仿宋_GB2312" w:hAnsi="仿宋_GB2312" w:eastAsia="仿宋_GB2312" w:cs="仿宋_GB2312"/>
          <w:sz w:val="32"/>
          <w:szCs w:val="32"/>
        </w:rPr>
        <w:t>元，</w:t>
      </w:r>
      <w:r>
        <w:rPr>
          <w:rStyle w:val="14"/>
          <w:rFonts w:hint="eastAsia" w:ascii="仿宋_GB2312" w:hAnsi="仿宋_GB2312" w:eastAsia="仿宋_GB2312" w:cs="仿宋_GB2312"/>
          <w:b w:val="0"/>
          <w:bCs/>
          <w:sz w:val="32"/>
          <w:szCs w:val="32"/>
        </w:rPr>
        <w:t>完成预算2</w:t>
      </w:r>
      <w:r>
        <w:rPr>
          <w:rStyle w:val="14"/>
          <w:rFonts w:hint="eastAsia" w:ascii="仿宋_GB2312" w:hAnsi="仿宋_GB2312" w:eastAsia="仿宋_GB2312" w:cs="仿宋_GB2312"/>
          <w:b w:val="0"/>
          <w:bCs/>
          <w:sz w:val="32"/>
          <w:szCs w:val="32"/>
          <w:lang w:val="en-US" w:eastAsia="zh-CN"/>
        </w:rPr>
        <w:t>5</w:t>
      </w:r>
      <w:r>
        <w:rPr>
          <w:rStyle w:val="14"/>
          <w:rFonts w:hint="eastAsia" w:ascii="仿宋_GB2312" w:hAnsi="仿宋_GB2312" w:eastAsia="仿宋_GB2312" w:cs="仿宋_GB2312"/>
          <w:b w:val="0"/>
          <w:bCs/>
          <w:sz w:val="32"/>
          <w:szCs w:val="32"/>
        </w:rPr>
        <w:t>%。</w:t>
      </w:r>
      <w:r>
        <w:rPr>
          <w:rFonts w:hint="eastAsia" w:ascii="仿宋_GB2312" w:hAnsi="仿宋_GB2312" w:eastAsia="仿宋_GB2312" w:cs="仿宋_GB2312"/>
          <w:sz w:val="32"/>
          <w:szCs w:val="32"/>
        </w:rPr>
        <w:t>公务接待费支出决算比2020年减少0.</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22.12</w:t>
      </w:r>
      <w:r>
        <w:rPr>
          <w:rFonts w:hint="eastAsia" w:ascii="仿宋_GB2312" w:hAnsi="仿宋_GB2312" w:eastAsia="仿宋_GB2312" w:cs="仿宋_GB2312"/>
          <w:sz w:val="32"/>
          <w:szCs w:val="32"/>
        </w:rPr>
        <w:t>%。主要原因是过“紧日子”，厉行节约，压缩开支。其中：</w:t>
      </w:r>
    </w:p>
    <w:p>
      <w:pPr>
        <w:spacing w:line="60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国内公务接待支出</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6万元，主要用于执行公务、开展业务活动开支的用餐费)。国内公务接待</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批次，1</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人次（不包括陪同人员），共计支出1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6万元，</w:t>
      </w:r>
      <w:r>
        <w:rPr>
          <w:rFonts w:hint="eastAsia" w:ascii="仿宋_GB2312" w:hAnsi="仿宋_GB2312" w:eastAsia="仿宋_GB2312" w:cs="仿宋_GB2312"/>
          <w:color w:val="000000"/>
          <w:sz w:val="32"/>
          <w:szCs w:val="32"/>
        </w:rPr>
        <w:t>具体内容包括：一</w:t>
      </w:r>
      <w:r>
        <w:rPr>
          <w:rFonts w:hint="eastAsia" w:ascii="仿宋_GB2312" w:hAnsi="仿宋_GB2312" w:eastAsia="仿宋_GB2312" w:cs="仿宋_GB2312"/>
          <w:sz w:val="32"/>
          <w:szCs w:val="32"/>
        </w:rPr>
        <w:t>是省市县工作接待费1.2万元；二是其他需要开支的接待费0.</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6万元。主要用于民政康养项目、社区建设、捐赠、及有关单位来广调研、指导、督查督办、学习交流所发生的接待支出。</w:t>
      </w:r>
    </w:p>
    <w:p>
      <w:pPr>
        <w:spacing w:line="60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外事接待支出</w:t>
      </w:r>
      <w:r>
        <w:rPr>
          <w:rFonts w:hint="eastAsia" w:ascii="仿宋_GB2312" w:hAnsi="仿宋_GB2312" w:eastAsia="仿宋_GB2312" w:cs="仿宋_GB2312"/>
          <w:sz w:val="32"/>
          <w:szCs w:val="32"/>
        </w:rPr>
        <w:t>0万元。</w:t>
      </w:r>
      <w:bookmarkStart w:id="47" w:name="_Toc15377218"/>
      <w:bookmarkStart w:id="48" w:name="_Toc15396610"/>
    </w:p>
    <w:p>
      <w:pPr>
        <w:spacing w:line="600" w:lineRule="exact"/>
        <w:ind w:firstLine="640"/>
        <w:outlineLvl w:val="1"/>
        <w:rPr>
          <w:rStyle w:val="26"/>
          <w:rFonts w:hint="eastAsia" w:ascii="黑体" w:hAnsi="黑体" w:eastAsia="黑体" w:cs="黑体"/>
          <w:b w:val="0"/>
          <w:bCs w:val="0"/>
          <w:sz w:val="32"/>
          <w:szCs w:val="32"/>
        </w:rPr>
      </w:pPr>
      <w:r>
        <w:rPr>
          <w:rFonts w:hint="eastAsia" w:ascii="黑体" w:hAnsi="黑体" w:eastAsia="黑体" w:cs="黑体"/>
          <w:b w:val="0"/>
          <w:bCs w:val="0"/>
          <w:sz w:val="32"/>
          <w:szCs w:val="32"/>
        </w:rPr>
        <w:t>八、</w:t>
      </w:r>
      <w:r>
        <w:rPr>
          <w:rStyle w:val="26"/>
          <w:rFonts w:hint="eastAsia" w:ascii="黑体" w:hAnsi="黑体" w:eastAsia="黑体" w:cs="黑体"/>
          <w:b w:val="0"/>
          <w:bCs w:val="0"/>
          <w:sz w:val="32"/>
          <w:szCs w:val="32"/>
        </w:rPr>
        <w:t>政府性基金预算支出决算情况说明</w:t>
      </w:r>
      <w:bookmarkEnd w:id="47"/>
      <w:bookmarkEnd w:id="48"/>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2021年政府性基金预算财政拨款支出174万元。</w:t>
      </w:r>
    </w:p>
    <w:p>
      <w:pPr>
        <w:numPr>
          <w:ilvl w:val="0"/>
          <w:numId w:val="0"/>
        </w:numPr>
        <w:spacing w:line="600" w:lineRule="exact"/>
        <w:ind w:firstLine="640" w:firstLineChars="200"/>
        <w:outlineLvl w:val="1"/>
        <w:rPr>
          <w:rStyle w:val="26"/>
          <w:rFonts w:hint="eastAsia" w:ascii="黑体" w:hAnsi="黑体" w:eastAsia="黑体" w:cs="黑体"/>
          <w:b w:val="0"/>
          <w:bCs/>
          <w:sz w:val="32"/>
          <w:szCs w:val="32"/>
        </w:rPr>
      </w:pPr>
      <w:bookmarkStart w:id="49" w:name="_Toc15396611"/>
      <w:bookmarkStart w:id="50" w:name="_Toc15377219"/>
      <w:r>
        <w:rPr>
          <w:rStyle w:val="26"/>
          <w:rFonts w:hint="eastAsia" w:ascii="黑体" w:hAnsi="黑体" w:eastAsia="黑体" w:cs="黑体"/>
          <w:b w:val="0"/>
          <w:bCs/>
          <w:sz w:val="32"/>
          <w:szCs w:val="32"/>
          <w:lang w:eastAsia="zh-CN"/>
        </w:rPr>
        <w:t>九、</w:t>
      </w:r>
      <w:r>
        <w:rPr>
          <w:rStyle w:val="26"/>
          <w:rFonts w:hint="eastAsia" w:ascii="黑体" w:hAnsi="黑体" w:eastAsia="黑体" w:cs="黑体"/>
          <w:b w:val="0"/>
          <w:bCs/>
          <w:sz w:val="32"/>
          <w:szCs w:val="32"/>
        </w:rPr>
        <w:t>国有资本经营预算支出决算情况说明</w:t>
      </w:r>
      <w:bookmarkEnd w:id="49"/>
      <w:bookmarkEnd w:id="50"/>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2021年国有资本经营预算财政拨款支出0万元。</w:t>
      </w:r>
    </w:p>
    <w:p>
      <w:pPr>
        <w:numPr>
          <w:ilvl w:val="0"/>
          <w:numId w:val="0"/>
        </w:numPr>
        <w:spacing w:line="600" w:lineRule="exact"/>
        <w:ind w:firstLine="640" w:firstLineChars="200"/>
        <w:outlineLvl w:val="1"/>
        <w:rPr>
          <w:rStyle w:val="26"/>
          <w:rFonts w:hint="eastAsia" w:ascii="黑体" w:hAnsi="黑体" w:eastAsia="黑体" w:cs="黑体"/>
          <w:b w:val="0"/>
          <w:bCs/>
          <w:color w:val="auto"/>
          <w:sz w:val="32"/>
          <w:szCs w:val="32"/>
        </w:rPr>
      </w:pPr>
      <w:bookmarkStart w:id="51" w:name="_Toc15377221"/>
      <w:bookmarkStart w:id="52" w:name="_Toc15396612"/>
      <w:r>
        <w:rPr>
          <w:rStyle w:val="26"/>
          <w:rFonts w:hint="eastAsia" w:ascii="黑体" w:hAnsi="黑体" w:eastAsia="黑体" w:cs="黑体"/>
          <w:b w:val="0"/>
          <w:bCs/>
          <w:color w:val="auto"/>
          <w:sz w:val="32"/>
          <w:szCs w:val="32"/>
          <w:lang w:eastAsia="zh-CN"/>
        </w:rPr>
        <w:t>十、</w:t>
      </w:r>
      <w:r>
        <w:rPr>
          <w:rStyle w:val="26"/>
          <w:rFonts w:hint="eastAsia" w:ascii="黑体" w:hAnsi="黑体" w:eastAsia="黑体" w:cs="黑体"/>
          <w:b w:val="0"/>
          <w:bCs/>
          <w:color w:val="auto"/>
          <w:sz w:val="32"/>
          <w:szCs w:val="32"/>
        </w:rPr>
        <w:t>预算绩效管理情况</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根据预算绩效管理要求，本单位在年初预算编制阶段，组织对</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个项目开展了预算事前绩效评估，并编制了绩效目标，预算执行过程中，选取5个项目开展绩效监控，年终执行完毕后，对5个项目开展了绩效目标完成情况自评。</w:t>
      </w:r>
      <w:r>
        <w:rPr>
          <w:rFonts w:hint="eastAsia" w:ascii="仿宋_GB2312" w:hAnsi="仿宋_GB2312" w:eastAsia="仿宋_GB2312" w:cs="仿宋_GB2312"/>
          <w:sz w:val="32"/>
          <w:szCs w:val="32"/>
        </w:rPr>
        <w:t>2021年部门预算项目绩效目标自评表见附件（第四部分）。</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本部门按要求对20</w:t>
      </w:r>
      <w:r>
        <w:rPr>
          <w:rFonts w:hint="eastAsia" w:ascii="仿宋_GB2312" w:hAnsi="仿宋_GB2312" w:eastAsia="仿宋_GB2312" w:cs="仿宋_GB2312"/>
          <w:color w:val="000000"/>
          <w:sz w:val="32"/>
          <w:szCs w:val="32"/>
          <w:lang w:val="en"/>
        </w:rPr>
        <w:t>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年部门整体支出开展绩效自评，从评价情况来看，我局20</w:t>
      </w:r>
      <w:r>
        <w:rPr>
          <w:rFonts w:hint="eastAsia" w:ascii="仿宋_GB2312" w:hAnsi="仿宋_GB2312" w:eastAsia="仿宋_GB2312" w:cs="仿宋_GB2312"/>
          <w:color w:val="000000"/>
          <w:sz w:val="32"/>
          <w:szCs w:val="32"/>
          <w:lang w:val="en"/>
        </w:rPr>
        <w:t>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年部门支出绩效整体执行较好，达到了预期目标，较好的完成了各项任务，实行了民政为民，上为党和政府分忧下为人民群众解愁的民政宗旨。</w:t>
      </w:r>
    </w:p>
    <w:p>
      <w:pPr>
        <w:spacing w:line="600" w:lineRule="exac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sz w:val="32"/>
          <w:szCs w:val="32"/>
          <w:lang w:eastAsia="zh-CN"/>
        </w:rPr>
        <w:t>财政局委托第三方机构审计了县区的残疾人两项补贴</w:t>
      </w:r>
      <w:r>
        <w:rPr>
          <w:rFonts w:hint="eastAsia" w:ascii="仿宋_GB2312" w:hAnsi="仿宋_GB2312" w:eastAsia="仿宋_GB2312" w:cs="仿宋_GB2312"/>
          <w:color w:val="000000"/>
          <w:sz w:val="32"/>
          <w:szCs w:val="32"/>
        </w:rPr>
        <w:t>，从评价情况来看民政专项资金使用较规范，基本达到了预期目标，但也存在配套资金不足等问题。</w:t>
      </w:r>
    </w:p>
    <w:p>
      <w:pPr>
        <w:spacing w:line="580" w:lineRule="exact"/>
        <w:ind w:firstLine="640"/>
        <w:rPr>
          <w:rStyle w:val="26"/>
          <w:rFonts w:hint="eastAsia" w:ascii="黑体" w:hAnsi="黑体" w:eastAsia="黑体" w:cs="黑体"/>
          <w:b w:val="0"/>
          <w:bCs w:val="0"/>
          <w:sz w:val="32"/>
          <w:szCs w:val="32"/>
        </w:rPr>
      </w:pPr>
      <w:r>
        <w:rPr>
          <w:rFonts w:hint="eastAsia" w:ascii="黑体" w:hAnsi="黑体" w:eastAsia="黑体" w:cs="黑体"/>
          <w:b w:val="0"/>
          <w:bCs w:val="0"/>
          <w:color w:val="000000"/>
          <w:kern w:val="0"/>
          <w:sz w:val="32"/>
          <w:szCs w:val="32"/>
          <w:lang w:eastAsia="zh-CN" w:bidi="ar"/>
        </w:rPr>
        <w:t>十一、</w:t>
      </w:r>
      <w:r>
        <w:rPr>
          <w:rStyle w:val="26"/>
          <w:rFonts w:hint="eastAsia" w:ascii="黑体" w:hAnsi="黑体" w:eastAsia="黑体" w:cs="黑体"/>
          <w:b w:val="0"/>
          <w:bCs w:val="0"/>
          <w:sz w:val="32"/>
          <w:szCs w:val="32"/>
        </w:rPr>
        <w:t>其他重要事项的情况说明</w:t>
      </w:r>
    </w:p>
    <w:p>
      <w:pPr>
        <w:spacing w:line="600" w:lineRule="exact"/>
        <w:ind w:firstLine="640" w:firstLineChars="200"/>
        <w:outlineLvl w:val="2"/>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（一）机关运行经费支出情况</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2021年，广元市民政局机关运行经费支出</w:t>
      </w:r>
      <w:r>
        <w:rPr>
          <w:rFonts w:hint="eastAsia" w:ascii="仿宋_GB2312" w:hAnsi="仿宋_GB2312" w:eastAsia="仿宋_GB2312" w:cs="仿宋_GB2312"/>
          <w:sz w:val="32"/>
          <w:szCs w:val="32"/>
          <w:lang w:val="en-US" w:eastAsia="zh-CN"/>
        </w:rPr>
        <w:t>197.24</w:t>
      </w:r>
      <w:r>
        <w:rPr>
          <w:rFonts w:hint="eastAsia" w:ascii="仿宋_GB2312" w:hAnsi="仿宋_GB2312" w:eastAsia="仿宋_GB2312" w:cs="仿宋_GB2312"/>
          <w:sz w:val="32"/>
          <w:szCs w:val="32"/>
        </w:rPr>
        <w:t>万元，比2020年增加</w:t>
      </w:r>
      <w:r>
        <w:rPr>
          <w:rFonts w:hint="eastAsia" w:ascii="仿宋_GB2312" w:hAnsi="仿宋_GB2312" w:eastAsia="仿宋_GB2312" w:cs="仿宋_GB2312"/>
          <w:sz w:val="32"/>
          <w:szCs w:val="32"/>
          <w:lang w:val="en-US" w:eastAsia="zh-CN"/>
        </w:rPr>
        <w:t>4.93</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增加了“两改办”机构。</w:t>
      </w:r>
    </w:p>
    <w:p>
      <w:pPr>
        <w:spacing w:line="600" w:lineRule="exact"/>
        <w:ind w:firstLine="640" w:firstLineChars="200"/>
        <w:outlineLvl w:val="2"/>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（二）政府采购支出情况</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2021年，</w:t>
      </w:r>
      <w:r>
        <w:rPr>
          <w:rFonts w:hint="eastAsia" w:ascii="仿宋_GB2312" w:hAnsi="仿宋_GB2312" w:eastAsia="仿宋_GB2312" w:cs="仿宋_GB2312"/>
          <w:sz w:val="32"/>
          <w:szCs w:val="32"/>
          <w:lang w:eastAsia="zh-CN"/>
        </w:rPr>
        <w:t>广元市民政局</w:t>
      </w:r>
      <w:r>
        <w:rPr>
          <w:rFonts w:hint="eastAsia" w:ascii="仿宋_GB2312" w:hAnsi="仿宋_GB2312" w:eastAsia="仿宋_GB2312" w:cs="仿宋_GB2312"/>
          <w:sz w:val="32"/>
          <w:szCs w:val="32"/>
        </w:rPr>
        <w:t>政府采购支出总额</w:t>
      </w:r>
      <w:r>
        <w:rPr>
          <w:rFonts w:hint="eastAsia" w:ascii="仿宋_GB2312" w:hAnsi="仿宋_GB2312" w:eastAsia="仿宋_GB2312" w:cs="仿宋_GB2312"/>
          <w:sz w:val="32"/>
          <w:szCs w:val="32"/>
          <w:lang w:val="en-US" w:eastAsia="zh-CN"/>
        </w:rPr>
        <w:t>46.67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000000"/>
          <w:sz w:val="32"/>
          <w:szCs w:val="32"/>
        </w:rPr>
        <w:t>其中：政府采购办公设备购置支出</w:t>
      </w:r>
      <w:r>
        <w:rPr>
          <w:rFonts w:hint="eastAsia" w:ascii="仿宋_GB2312" w:hAnsi="仿宋_GB2312" w:eastAsia="仿宋_GB2312" w:cs="仿宋_GB2312"/>
          <w:color w:val="000000"/>
          <w:sz w:val="32"/>
          <w:szCs w:val="32"/>
          <w:lang w:val="en-US" w:eastAsia="zh-CN"/>
        </w:rPr>
        <w:t>22.98</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（含更换安可替</w:t>
      </w:r>
      <w:r>
        <w:rPr>
          <w:rFonts w:hint="eastAsia" w:ascii="仿宋_GB2312" w:hAnsi="仿宋_GB2312" w:eastAsia="仿宋_GB2312" w:cs="仿宋_GB2312"/>
          <w:color w:val="000000"/>
          <w:sz w:val="32"/>
          <w:szCs w:val="32"/>
          <w:lang w:val="en-US" w:eastAsia="zh-CN"/>
        </w:rPr>
        <w:t>14.33万元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8.65万元</w:t>
      </w:r>
      <w:r>
        <w:rPr>
          <w:rFonts w:hint="eastAsia" w:ascii="仿宋_GB2312" w:hAnsi="仿宋_GB2312" w:eastAsia="仿宋_GB2312" w:cs="仿宋_GB2312"/>
          <w:color w:val="000000"/>
          <w:sz w:val="32"/>
          <w:szCs w:val="32"/>
        </w:rPr>
        <w:t>主要用于办公电脑、打印机等日常办公用品的采购，占政府采购支出总额的</w:t>
      </w:r>
      <w:r>
        <w:rPr>
          <w:rFonts w:hint="eastAsia" w:ascii="仿宋_GB2312" w:hAnsi="仿宋_GB2312" w:eastAsia="仿宋_GB2312" w:cs="仿宋_GB2312"/>
          <w:color w:val="000000"/>
          <w:sz w:val="32"/>
          <w:szCs w:val="32"/>
          <w:lang w:val="en-US" w:eastAsia="zh-CN"/>
        </w:rPr>
        <w:t>49</w:t>
      </w:r>
      <w:r>
        <w:rPr>
          <w:rFonts w:hint="eastAsia" w:ascii="仿宋_GB2312" w:hAnsi="仿宋_GB2312" w:eastAsia="仿宋_GB2312" w:cs="仿宋_GB2312"/>
          <w:color w:val="000000"/>
          <w:sz w:val="32"/>
          <w:szCs w:val="32"/>
        </w:rPr>
        <w:t>%，信息网络及软件购置更新</w:t>
      </w:r>
      <w:r>
        <w:rPr>
          <w:rFonts w:hint="eastAsia" w:ascii="仿宋_GB2312" w:hAnsi="仿宋_GB2312" w:eastAsia="仿宋_GB2312" w:cs="仿宋_GB2312"/>
          <w:color w:val="000000"/>
          <w:sz w:val="32"/>
          <w:szCs w:val="32"/>
          <w:lang w:val="en-US" w:eastAsia="zh-CN"/>
        </w:rPr>
        <w:t>23.7</w:t>
      </w:r>
      <w:r>
        <w:rPr>
          <w:rFonts w:hint="eastAsia" w:ascii="仿宋_GB2312" w:hAnsi="仿宋_GB2312" w:eastAsia="仿宋_GB2312" w:cs="仿宋_GB2312"/>
          <w:color w:val="000000"/>
          <w:sz w:val="32"/>
          <w:szCs w:val="32"/>
        </w:rPr>
        <w:t>万元，占政府采购支出总额的</w:t>
      </w:r>
      <w:r>
        <w:rPr>
          <w:rFonts w:hint="eastAsia" w:ascii="仿宋_GB2312" w:hAnsi="仿宋_GB2312" w:eastAsia="仿宋_GB2312" w:cs="仿宋_GB2312"/>
          <w:color w:val="000000"/>
          <w:sz w:val="32"/>
          <w:szCs w:val="32"/>
          <w:lang w:val="en-US" w:eastAsia="zh-CN"/>
        </w:rPr>
        <w:t>51</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（民政厅要求购置更新救助综合平台费用）</w:t>
      </w:r>
      <w:r>
        <w:rPr>
          <w:rFonts w:hint="eastAsia" w:ascii="仿宋_GB2312" w:hAnsi="仿宋_GB2312" w:eastAsia="仿宋_GB2312" w:cs="仿宋_GB2312"/>
          <w:color w:val="000000"/>
          <w:sz w:val="32"/>
          <w:szCs w:val="32"/>
        </w:rPr>
        <w:t>。</w:t>
      </w:r>
    </w:p>
    <w:p>
      <w:pPr>
        <w:spacing w:line="600" w:lineRule="exact"/>
        <w:ind w:firstLine="642"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（注：数据来源于财决附03表）</w:t>
      </w:r>
    </w:p>
    <w:p>
      <w:pPr>
        <w:autoSpaceDE w:val="0"/>
        <w:autoSpaceDN w:val="0"/>
        <w:adjustRightInd w:val="0"/>
        <w:spacing w:line="600" w:lineRule="exact"/>
        <w:ind w:firstLine="640" w:firstLineChars="200"/>
        <w:jc w:val="left"/>
        <w:outlineLvl w:val="2"/>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（三）国有资产占有使用情况</w:t>
      </w:r>
    </w:p>
    <w:p>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截至2021年12月31日，</w:t>
      </w:r>
      <w:r>
        <w:rPr>
          <w:rFonts w:hint="eastAsia" w:ascii="仿宋_GB2312" w:hAnsi="仿宋_GB2312" w:eastAsia="仿宋_GB2312" w:cs="仿宋_GB2312"/>
          <w:color w:val="000000"/>
          <w:sz w:val="32"/>
          <w:szCs w:val="32"/>
        </w:rPr>
        <w:t>广元市民政局共有车辆</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辆，其中：轿车</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辆</w:t>
      </w:r>
      <w:r>
        <w:rPr>
          <w:rFonts w:hint="eastAsia" w:ascii="仿宋_GB2312" w:hAnsi="仿宋_GB2312" w:eastAsia="仿宋_GB2312" w:cs="仿宋_GB2312"/>
          <w:color w:val="000000"/>
          <w:sz w:val="32"/>
          <w:szCs w:val="32"/>
          <w:lang w:eastAsia="zh-CN"/>
        </w:rPr>
        <w:t>（含军改前</w:t>
      </w:r>
      <w:r>
        <w:rPr>
          <w:rFonts w:hint="eastAsia" w:ascii="仿宋_GB2312" w:hAnsi="仿宋_GB2312" w:eastAsia="仿宋_GB2312" w:cs="仿宋_GB2312"/>
          <w:color w:val="000000"/>
          <w:sz w:val="32"/>
          <w:szCs w:val="32"/>
          <w:lang w:val="en-US" w:eastAsia="zh-CN"/>
        </w:rPr>
        <w:t>1辆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，主要是用于民政事务公务用车。</w:t>
      </w:r>
    </w:p>
    <w:p>
      <w:pPr>
        <w:widowControl/>
        <w:jc w:val="center"/>
        <w:rPr>
          <w:rFonts w:hint="eastAsia" w:ascii="方正小标宋简体" w:hAnsi="方正小标宋简体" w:eastAsia="方正小标宋简体" w:cs="方正小标宋简体"/>
          <w:bCs/>
          <w:color w:val="000000"/>
          <w:sz w:val="44"/>
          <w:szCs w:val="44"/>
          <w:lang w:eastAsia="zh-CN"/>
        </w:rPr>
      </w:pPr>
    </w:p>
    <w:p>
      <w:pPr>
        <w:widowControl/>
        <w:jc w:val="center"/>
        <w:rPr>
          <w:rStyle w:val="25"/>
          <w:rFonts w:hint="eastAsia"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Cs/>
          <w:color w:val="000000"/>
          <w:sz w:val="44"/>
          <w:szCs w:val="44"/>
          <w:lang w:val="en-US" w:eastAsia="zh-CN"/>
        </w:rPr>
        <w:t xml:space="preserve"> </w:t>
      </w:r>
      <w:r>
        <w:rPr>
          <w:rFonts w:hint="eastAsia" w:ascii="方正小标宋简体" w:hAnsi="方正小标宋简体" w:eastAsia="方正小标宋简体" w:cs="方正小标宋简体"/>
          <w:bCs/>
          <w:color w:val="000000"/>
          <w:sz w:val="44"/>
          <w:szCs w:val="44"/>
        </w:rPr>
        <w:t>名</w:t>
      </w:r>
      <w:r>
        <w:rPr>
          <w:rStyle w:val="25"/>
          <w:rFonts w:hint="eastAsia" w:ascii="方正小标宋简体" w:hAnsi="方正小标宋简体" w:eastAsia="方正小标宋简体" w:cs="方正小标宋简体"/>
          <w:b w:val="0"/>
          <w:sz w:val="44"/>
          <w:szCs w:val="44"/>
        </w:rPr>
        <w:t>词解释</w:t>
      </w:r>
    </w:p>
    <w:p>
      <w:pPr>
        <w:spacing w:line="600" w:lineRule="exact"/>
        <w:jc w:val="center"/>
        <w:rPr>
          <w:rFonts w:hint="eastAsia" w:ascii="仿宋_GB2312" w:hAnsi="仿宋_GB2312" w:eastAsia="仿宋_GB2312" w:cs="仿宋_GB2312"/>
          <w:b/>
          <w:color w:val="000000"/>
          <w:sz w:val="32"/>
          <w:szCs w:val="32"/>
        </w:rPr>
      </w:pPr>
    </w:p>
    <w:p>
      <w:pPr>
        <w:pStyle w:val="23"/>
        <w:keepNext w:val="0"/>
        <w:keepLines w:val="0"/>
        <w:pageBreakBefore w:val="0"/>
        <w:numPr>
          <w:ilvl w:val="0"/>
          <w:numId w:val="0"/>
        </w:numPr>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财政拨款收入：指单位从同级财政部门取得的财政预算资金。</w:t>
      </w:r>
    </w:p>
    <w:p>
      <w:pPr>
        <w:numPr>
          <w:ilvl w:val="0"/>
          <w:numId w:val="0"/>
        </w:num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政府性基金预算财政拨款：应当遵循“扶老、助残、救孤、济困”，用于残疾人福利类项目、老年</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lang w:eastAsia="zh-CN"/>
        </w:rPr>
        <w:t>福利类项目、儿童福利类</w:t>
      </w:r>
      <w:r>
        <w:rPr>
          <w:rFonts w:hint="eastAsia" w:ascii="仿宋_GB2312" w:hAnsi="仿宋_GB2312" w:eastAsia="仿宋_GB2312" w:cs="仿宋_GB2312"/>
          <w:sz w:val="32"/>
          <w:szCs w:val="32"/>
          <w:highlight w:val="none"/>
          <w:lang w:eastAsia="zh-CN"/>
        </w:rPr>
        <w:t>项目、社会公益类项目。</w:t>
      </w:r>
    </w:p>
    <w:p>
      <w:pPr>
        <w:pStyle w:val="23"/>
        <w:keepNext w:val="0"/>
        <w:keepLines w:val="0"/>
        <w:pageBreakBefore w:val="0"/>
        <w:numPr>
          <w:ilvl w:val="0"/>
          <w:numId w:val="0"/>
        </w:numPr>
        <w:kinsoku/>
        <w:wordWrap/>
        <w:overflowPunct/>
        <w:topLinePunct w:val="0"/>
        <w:bidi w:val="0"/>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其他收入：指除上述“财政拨款收入”、“事业收入”、“经营收入”等以外的收入。</w:t>
      </w:r>
    </w:p>
    <w:p>
      <w:pPr>
        <w:pStyle w:val="23"/>
        <w:keepNext w:val="0"/>
        <w:keepLines w:val="0"/>
        <w:pageBreakBefore w:val="0"/>
        <w:numPr>
          <w:ilvl w:val="0"/>
          <w:numId w:val="0"/>
        </w:numPr>
        <w:kinsoku/>
        <w:wordWrap/>
        <w:overflowPunct/>
        <w:topLinePunct w:val="0"/>
        <w:bidi w:val="0"/>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年初结转和结余：指以前年度尚未完成、结转到本年按有关规定继续使用的资金。</w:t>
      </w:r>
    </w:p>
    <w:p>
      <w:pPr>
        <w:keepNext w:val="0"/>
        <w:keepLines w:val="0"/>
        <w:pageBreakBefore w:val="0"/>
        <w:numPr>
          <w:ilvl w:val="0"/>
          <w:numId w:val="0"/>
        </w:numPr>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lang w:val="en-US" w:eastAsia="zh-CN"/>
        </w:rPr>
        <w:t>5.</w:t>
      </w:r>
      <w:r>
        <w:rPr>
          <w:rStyle w:val="14"/>
          <w:rFonts w:hint="eastAsia" w:ascii="仿宋_GB2312" w:hAnsi="仿宋_GB2312" w:eastAsia="仿宋_GB2312" w:cs="仿宋_GB2312"/>
          <w:b w:val="0"/>
          <w:sz w:val="32"/>
          <w:szCs w:val="32"/>
          <w:highlight w:val="none"/>
          <w:lang w:val="en-US" w:eastAsia="zh-CN"/>
        </w:rPr>
        <w:t>.</w:t>
      </w:r>
      <w:r>
        <w:rPr>
          <w:rStyle w:val="14"/>
          <w:rFonts w:hint="eastAsia" w:ascii="仿宋_GB2312" w:hAnsi="仿宋_GB2312" w:eastAsia="仿宋_GB2312" w:cs="仿宋_GB2312"/>
          <w:b w:val="0"/>
          <w:sz w:val="32"/>
          <w:szCs w:val="32"/>
          <w:highlight w:val="none"/>
        </w:rPr>
        <w:t>社会保障和就业支出</w:t>
      </w:r>
      <w:r>
        <w:rPr>
          <w:rStyle w:val="14"/>
          <w:rFonts w:hint="default" w:ascii="仿宋_GB2312" w:hAnsi="仿宋_GB2312" w:eastAsia="仿宋_GB2312" w:cs="仿宋_GB2312"/>
          <w:b w:val="0"/>
          <w:sz w:val="32"/>
          <w:szCs w:val="32"/>
          <w:highlight w:val="none"/>
          <w:lang w:val="en"/>
        </w:rPr>
        <w:t>(</w:t>
      </w:r>
      <w:r>
        <w:rPr>
          <w:rStyle w:val="14"/>
          <w:rFonts w:hint="eastAsia" w:ascii="仿宋_GB2312" w:hAnsi="仿宋_GB2312" w:eastAsia="仿宋_GB2312" w:cs="仿宋_GB2312"/>
          <w:b w:val="0"/>
          <w:sz w:val="32"/>
          <w:szCs w:val="32"/>
          <w:highlight w:val="none"/>
          <w:lang w:val="en" w:eastAsia="zh-CN"/>
        </w:rPr>
        <w:t>类</w:t>
      </w:r>
      <w:r>
        <w:rPr>
          <w:rStyle w:val="14"/>
          <w:rFonts w:hint="default" w:ascii="仿宋_GB2312" w:hAnsi="仿宋_GB2312" w:eastAsia="仿宋_GB2312" w:cs="仿宋_GB2312"/>
          <w:b w:val="0"/>
          <w:sz w:val="32"/>
          <w:szCs w:val="32"/>
          <w:highlight w:val="none"/>
          <w:lang w:val="en"/>
        </w:rPr>
        <w:t>)</w:t>
      </w:r>
      <w:r>
        <w:rPr>
          <w:rStyle w:val="14"/>
          <w:rFonts w:hint="eastAsia" w:ascii="仿宋_GB2312" w:hAnsi="仿宋_GB2312" w:eastAsia="仿宋_GB2312" w:cs="仿宋_GB2312"/>
          <w:b w:val="0"/>
          <w:sz w:val="32"/>
          <w:szCs w:val="32"/>
          <w:highlight w:val="none"/>
          <w:lang w:val="en" w:eastAsia="zh-CN"/>
        </w:rPr>
        <w:t>民政管理事务（款）</w:t>
      </w:r>
      <w:r>
        <w:rPr>
          <w:rStyle w:val="14"/>
          <w:rFonts w:hint="eastAsia" w:ascii="仿宋_GB2312" w:hAnsi="仿宋_GB2312" w:eastAsia="仿宋_GB2312" w:cs="仿宋_GB2312"/>
          <w:b w:val="0"/>
          <w:sz w:val="32"/>
          <w:szCs w:val="32"/>
          <w:highlight w:val="none"/>
        </w:rPr>
        <w:t>行政运行</w:t>
      </w:r>
      <w:r>
        <w:rPr>
          <w:rStyle w:val="14"/>
          <w:rFonts w:hint="eastAsia" w:ascii="仿宋_GB2312" w:hAnsi="仿宋_GB2312" w:eastAsia="仿宋_GB2312" w:cs="仿宋_GB2312"/>
          <w:b w:val="0"/>
          <w:bCs w:val="0"/>
          <w:sz w:val="32"/>
          <w:szCs w:val="32"/>
          <w:highlight w:val="none"/>
        </w:rPr>
        <w:t>（项）</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反映</w:t>
      </w:r>
      <w:r>
        <w:rPr>
          <w:rFonts w:hint="eastAsia" w:ascii="仿宋_GB2312" w:hAnsi="仿宋_GB2312" w:eastAsia="仿宋_GB2312" w:cs="仿宋_GB2312"/>
          <w:sz w:val="32"/>
          <w:szCs w:val="32"/>
          <w:highlight w:val="none"/>
          <w:lang w:val="en-US" w:eastAsia="zh-CN"/>
        </w:rPr>
        <w:t>民政局机关</w:t>
      </w:r>
      <w:r>
        <w:rPr>
          <w:rFonts w:hint="eastAsia" w:ascii="仿宋_GB2312" w:hAnsi="仿宋_GB2312" w:eastAsia="仿宋_GB2312" w:cs="仿宋_GB2312"/>
          <w:sz w:val="32"/>
          <w:szCs w:val="32"/>
          <w:highlight w:val="none"/>
        </w:rPr>
        <w:t>（包括实行公务员管理的</w:t>
      </w:r>
      <w:r>
        <w:rPr>
          <w:rFonts w:hint="eastAsia" w:ascii="仿宋_GB2312" w:hAnsi="仿宋_GB2312" w:eastAsia="仿宋_GB2312" w:cs="仿宋_GB2312"/>
          <w:sz w:val="32"/>
          <w:szCs w:val="32"/>
          <w:highlight w:val="none"/>
          <w:lang w:val="en-US" w:eastAsia="zh-CN"/>
        </w:rPr>
        <w:t>2个</w:t>
      </w:r>
      <w:r>
        <w:rPr>
          <w:rFonts w:hint="eastAsia" w:ascii="仿宋_GB2312" w:hAnsi="仿宋_GB2312" w:eastAsia="仿宋_GB2312" w:cs="仿宋_GB2312"/>
          <w:sz w:val="32"/>
          <w:szCs w:val="32"/>
          <w:highlight w:val="none"/>
        </w:rPr>
        <w:t>事业单位）的基本支出。</w:t>
      </w:r>
    </w:p>
    <w:p>
      <w:pPr>
        <w:keepNext w:val="0"/>
        <w:keepLines w:val="0"/>
        <w:pageBreakBefore w:val="0"/>
        <w:numPr>
          <w:ilvl w:val="0"/>
          <w:numId w:val="0"/>
        </w:numPr>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Style w:val="14"/>
          <w:rFonts w:hint="eastAsia" w:ascii="仿宋_GB2312" w:hAnsi="仿宋_GB2312" w:eastAsia="仿宋_GB2312" w:cs="仿宋_GB2312"/>
          <w:b w:val="0"/>
          <w:sz w:val="32"/>
          <w:szCs w:val="32"/>
          <w:highlight w:val="none"/>
          <w:lang w:val="en-US" w:eastAsia="zh-CN"/>
        </w:rPr>
        <w:t>.</w:t>
      </w:r>
      <w:r>
        <w:rPr>
          <w:rStyle w:val="14"/>
          <w:rFonts w:hint="eastAsia" w:ascii="仿宋_GB2312" w:hAnsi="仿宋_GB2312" w:eastAsia="仿宋_GB2312" w:cs="仿宋_GB2312"/>
          <w:b w:val="0"/>
          <w:sz w:val="32"/>
          <w:szCs w:val="32"/>
          <w:highlight w:val="none"/>
        </w:rPr>
        <w:t>社会保障和就业支出</w:t>
      </w:r>
      <w:r>
        <w:rPr>
          <w:rStyle w:val="14"/>
          <w:rFonts w:hint="default" w:ascii="仿宋_GB2312" w:hAnsi="仿宋_GB2312" w:eastAsia="仿宋_GB2312" w:cs="仿宋_GB2312"/>
          <w:b w:val="0"/>
          <w:sz w:val="32"/>
          <w:szCs w:val="32"/>
          <w:highlight w:val="none"/>
          <w:lang w:val="en"/>
        </w:rPr>
        <w:t>(</w:t>
      </w:r>
      <w:r>
        <w:rPr>
          <w:rStyle w:val="14"/>
          <w:rFonts w:hint="eastAsia" w:ascii="仿宋_GB2312" w:hAnsi="仿宋_GB2312" w:eastAsia="仿宋_GB2312" w:cs="仿宋_GB2312"/>
          <w:b w:val="0"/>
          <w:sz w:val="32"/>
          <w:szCs w:val="32"/>
          <w:highlight w:val="none"/>
          <w:lang w:val="en" w:eastAsia="zh-CN"/>
        </w:rPr>
        <w:t>类</w:t>
      </w:r>
      <w:r>
        <w:rPr>
          <w:rStyle w:val="14"/>
          <w:rFonts w:hint="default" w:ascii="仿宋_GB2312" w:hAnsi="仿宋_GB2312" w:eastAsia="仿宋_GB2312" w:cs="仿宋_GB2312"/>
          <w:b w:val="0"/>
          <w:sz w:val="32"/>
          <w:szCs w:val="32"/>
          <w:highlight w:val="none"/>
          <w:lang w:val="en"/>
        </w:rPr>
        <w:t>)</w:t>
      </w:r>
      <w:r>
        <w:rPr>
          <w:rStyle w:val="14"/>
          <w:rFonts w:hint="eastAsia" w:ascii="仿宋_GB2312" w:hAnsi="仿宋_GB2312" w:eastAsia="仿宋_GB2312" w:cs="仿宋_GB2312"/>
          <w:b w:val="0"/>
          <w:sz w:val="32"/>
          <w:szCs w:val="32"/>
          <w:highlight w:val="none"/>
          <w:lang w:val="en" w:eastAsia="zh-CN"/>
        </w:rPr>
        <w:t>民政管理事务（款）</w:t>
      </w:r>
      <w:r>
        <w:rPr>
          <w:rFonts w:hint="eastAsia" w:ascii="仿宋_GB2312" w:hAnsi="仿宋_GB2312" w:eastAsia="仿宋_GB2312" w:cs="仿宋_GB2312"/>
          <w:color w:val="auto"/>
          <w:sz w:val="32"/>
          <w:szCs w:val="32"/>
          <w:highlight w:val="none"/>
        </w:rPr>
        <w:t>机关运行经费</w:t>
      </w:r>
      <w:r>
        <w:rPr>
          <w:rStyle w:val="14"/>
          <w:rFonts w:hint="eastAsia" w:ascii="仿宋_GB2312" w:hAnsi="仿宋_GB2312" w:eastAsia="仿宋_GB2312" w:cs="仿宋_GB2312"/>
          <w:b w:val="0"/>
          <w:bCs w:val="0"/>
          <w:sz w:val="32"/>
          <w:szCs w:val="32"/>
          <w:highlight w:val="none"/>
        </w:rPr>
        <w:t>（项）</w:t>
      </w:r>
      <w:r>
        <w:rPr>
          <w:rFonts w:hint="eastAsia" w:ascii="仿宋_GB2312" w:hAnsi="仿宋_GB2312" w:eastAsia="仿宋_GB2312" w:cs="仿宋_GB2312"/>
          <w:color w:val="auto"/>
          <w:sz w:val="32"/>
          <w:szCs w:val="32"/>
          <w:highlight w:val="none"/>
        </w:rPr>
        <w:t>：为保障行政单位（含参照公务员法管理的事</w:t>
      </w:r>
      <w:r>
        <w:rPr>
          <w:rFonts w:hint="eastAsia" w:ascii="仿宋_GB2312" w:hAnsi="仿宋_GB2312" w:eastAsia="仿宋_GB2312" w:cs="仿宋_GB2312"/>
          <w:color w:val="auto"/>
          <w:sz w:val="32"/>
          <w:szCs w:val="32"/>
        </w:rPr>
        <w:t>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_GB2312" w:hAnsi="仿宋_GB2312" w:eastAsia="仿宋_GB2312" w:cs="仿宋_GB2312"/>
          <w:sz w:val="32"/>
          <w:szCs w:val="32"/>
        </w:rPr>
        <w:t>（包括实行公务员管理的</w:t>
      </w:r>
      <w:r>
        <w:rPr>
          <w:rFonts w:hint="eastAsia" w:ascii="仿宋_GB2312" w:hAnsi="仿宋_GB2312" w:eastAsia="仿宋_GB2312" w:cs="仿宋_GB2312"/>
          <w:sz w:val="32"/>
          <w:szCs w:val="32"/>
          <w:lang w:val="en-US" w:eastAsia="zh-CN"/>
        </w:rPr>
        <w:t>2个</w:t>
      </w:r>
      <w:r>
        <w:rPr>
          <w:rFonts w:hint="eastAsia" w:ascii="仿宋_GB2312" w:hAnsi="仿宋_GB2312" w:eastAsia="仿宋_GB2312" w:cs="仿宋_GB2312"/>
          <w:sz w:val="32"/>
          <w:szCs w:val="32"/>
        </w:rPr>
        <w:t>事业单位）</w:t>
      </w:r>
      <w:r>
        <w:rPr>
          <w:rFonts w:hint="eastAsia" w:ascii="仿宋_GB2312" w:hAnsi="仿宋_GB2312" w:eastAsia="仿宋_GB2312" w:cs="仿宋_GB2312"/>
          <w:color w:val="auto"/>
          <w:sz w:val="32"/>
          <w:szCs w:val="32"/>
        </w:rPr>
        <w:t>。</w:t>
      </w:r>
    </w:p>
    <w:p>
      <w:pPr>
        <w:keepNext w:val="0"/>
        <w:keepLines w:val="0"/>
        <w:pageBreakBefore w:val="0"/>
        <w:numPr>
          <w:ilvl w:val="0"/>
          <w:numId w:val="0"/>
        </w:numPr>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lang w:val="en-US" w:eastAsia="zh-CN"/>
        </w:rPr>
        <w:t>7.</w:t>
      </w:r>
      <w:r>
        <w:rPr>
          <w:rStyle w:val="14"/>
          <w:rFonts w:hint="eastAsia" w:ascii="仿宋_GB2312" w:hAnsi="仿宋_GB2312" w:eastAsia="仿宋_GB2312" w:cs="仿宋_GB2312"/>
          <w:b w:val="0"/>
          <w:sz w:val="32"/>
          <w:szCs w:val="32"/>
          <w:highlight w:val="none"/>
        </w:rPr>
        <w:t>社会保障和就业支出</w:t>
      </w:r>
      <w:r>
        <w:rPr>
          <w:rStyle w:val="14"/>
          <w:rFonts w:hint="default" w:ascii="仿宋_GB2312" w:hAnsi="仿宋_GB2312" w:eastAsia="仿宋_GB2312" w:cs="仿宋_GB2312"/>
          <w:b w:val="0"/>
          <w:sz w:val="32"/>
          <w:szCs w:val="32"/>
          <w:highlight w:val="none"/>
          <w:lang w:val="en"/>
        </w:rPr>
        <w:t>(</w:t>
      </w:r>
      <w:r>
        <w:rPr>
          <w:rStyle w:val="14"/>
          <w:rFonts w:hint="eastAsia" w:ascii="仿宋_GB2312" w:hAnsi="仿宋_GB2312" w:eastAsia="仿宋_GB2312" w:cs="仿宋_GB2312"/>
          <w:b w:val="0"/>
          <w:sz w:val="32"/>
          <w:szCs w:val="32"/>
          <w:highlight w:val="none"/>
          <w:lang w:val="en" w:eastAsia="zh-CN"/>
        </w:rPr>
        <w:t>类</w:t>
      </w:r>
      <w:r>
        <w:rPr>
          <w:rStyle w:val="14"/>
          <w:rFonts w:hint="default" w:ascii="仿宋_GB2312" w:hAnsi="仿宋_GB2312" w:eastAsia="仿宋_GB2312" w:cs="仿宋_GB2312"/>
          <w:b w:val="0"/>
          <w:sz w:val="32"/>
          <w:szCs w:val="32"/>
          <w:highlight w:val="none"/>
          <w:lang w:val="en"/>
        </w:rPr>
        <w:t>)</w:t>
      </w:r>
      <w:r>
        <w:rPr>
          <w:rStyle w:val="14"/>
          <w:rFonts w:hint="eastAsia" w:ascii="仿宋_GB2312" w:hAnsi="仿宋_GB2312" w:eastAsia="仿宋_GB2312" w:cs="仿宋_GB2312"/>
          <w:b w:val="0"/>
          <w:sz w:val="32"/>
          <w:szCs w:val="32"/>
          <w:highlight w:val="none"/>
          <w:lang w:val="en" w:eastAsia="zh-CN"/>
        </w:rPr>
        <w:t>民政管理事务（款）</w:t>
      </w:r>
      <w:r>
        <w:rPr>
          <w:rFonts w:hint="eastAsia" w:ascii="仿宋_GB2312" w:hAnsi="仿宋_GB2312" w:eastAsia="仿宋_GB2312" w:cs="仿宋_GB2312"/>
          <w:b w:val="0"/>
          <w:bCs w:val="0"/>
          <w:sz w:val="32"/>
          <w:szCs w:val="32"/>
          <w:highlight w:val="none"/>
        </w:rPr>
        <w:t>民间组织管理</w:t>
      </w:r>
      <w:r>
        <w:rPr>
          <w:rStyle w:val="14"/>
          <w:rFonts w:hint="eastAsia" w:ascii="仿宋_GB2312" w:hAnsi="仿宋_GB2312" w:eastAsia="仿宋_GB2312" w:cs="仿宋_GB2312"/>
          <w:b w:val="0"/>
          <w:bCs w:val="0"/>
          <w:sz w:val="32"/>
          <w:szCs w:val="32"/>
          <w:highlight w:val="none"/>
        </w:rPr>
        <w:t>（项）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反映</w:t>
      </w:r>
      <w:r>
        <w:rPr>
          <w:rFonts w:hint="eastAsia" w:ascii="仿宋_GB2312" w:hAnsi="仿宋_GB2312" w:eastAsia="仿宋_GB2312" w:cs="仿宋_GB2312"/>
          <w:kern w:val="0"/>
          <w:sz w:val="32"/>
          <w:szCs w:val="32"/>
          <w:highlight w:val="none"/>
        </w:rPr>
        <w:t>社会团体、社会服务机构等社会组织登记和监督管理办法并组织实施，依法对社会组织进行登记管理和执法监督</w:t>
      </w:r>
      <w:r>
        <w:rPr>
          <w:rFonts w:hint="eastAsia" w:ascii="仿宋_GB2312" w:hAnsi="仿宋_GB2312" w:eastAsia="仿宋_GB2312" w:cs="仿宋_GB2312"/>
          <w:kern w:val="0"/>
          <w:sz w:val="32"/>
          <w:szCs w:val="32"/>
          <w:highlight w:val="none"/>
          <w:lang w:val="en-US" w:eastAsia="zh-CN"/>
        </w:rPr>
        <w:t>等</w:t>
      </w:r>
      <w:r>
        <w:rPr>
          <w:rFonts w:hint="eastAsia" w:ascii="仿宋_GB2312" w:hAnsi="仿宋_GB2312" w:eastAsia="仿宋_GB2312" w:cs="仿宋_GB2312"/>
          <w:sz w:val="32"/>
          <w:szCs w:val="32"/>
          <w:highlight w:val="none"/>
        </w:rPr>
        <w:t>方面的支出</w:t>
      </w:r>
      <w:r>
        <w:rPr>
          <w:rFonts w:hint="eastAsia" w:ascii="仿宋_GB2312" w:hAnsi="仿宋_GB2312" w:eastAsia="仿宋_GB2312" w:cs="仿宋_GB2312"/>
          <w:sz w:val="32"/>
          <w:szCs w:val="32"/>
          <w:highlight w:val="none"/>
          <w:lang w:eastAsia="zh-CN"/>
        </w:rPr>
        <w:t>。</w:t>
      </w:r>
    </w:p>
    <w:p>
      <w:pPr>
        <w:keepNext w:val="0"/>
        <w:keepLines w:val="0"/>
        <w:pageBreakBefore w:val="0"/>
        <w:numPr>
          <w:ilvl w:val="0"/>
          <w:numId w:val="0"/>
        </w:numPr>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lang w:val="en-US" w:eastAsia="zh-CN"/>
        </w:rPr>
        <w:t>8.</w:t>
      </w:r>
      <w:r>
        <w:rPr>
          <w:rStyle w:val="14"/>
          <w:rFonts w:hint="eastAsia" w:ascii="仿宋_GB2312" w:hAnsi="仿宋_GB2312" w:eastAsia="仿宋_GB2312" w:cs="仿宋_GB2312"/>
          <w:b w:val="0"/>
          <w:sz w:val="32"/>
          <w:szCs w:val="32"/>
          <w:highlight w:val="none"/>
        </w:rPr>
        <w:t>社会保障和就业支出</w:t>
      </w:r>
      <w:r>
        <w:rPr>
          <w:rStyle w:val="14"/>
          <w:rFonts w:hint="default" w:ascii="仿宋_GB2312" w:hAnsi="仿宋_GB2312" w:eastAsia="仿宋_GB2312" w:cs="仿宋_GB2312"/>
          <w:b w:val="0"/>
          <w:sz w:val="32"/>
          <w:szCs w:val="32"/>
          <w:highlight w:val="none"/>
          <w:lang w:val="en"/>
        </w:rPr>
        <w:t>(</w:t>
      </w:r>
      <w:r>
        <w:rPr>
          <w:rStyle w:val="14"/>
          <w:rFonts w:hint="eastAsia" w:ascii="仿宋_GB2312" w:hAnsi="仿宋_GB2312" w:eastAsia="仿宋_GB2312" w:cs="仿宋_GB2312"/>
          <w:b w:val="0"/>
          <w:sz w:val="32"/>
          <w:szCs w:val="32"/>
          <w:highlight w:val="none"/>
          <w:lang w:val="en" w:eastAsia="zh-CN"/>
        </w:rPr>
        <w:t>类</w:t>
      </w:r>
      <w:r>
        <w:rPr>
          <w:rStyle w:val="14"/>
          <w:rFonts w:hint="default" w:ascii="仿宋_GB2312" w:hAnsi="仿宋_GB2312" w:eastAsia="仿宋_GB2312" w:cs="仿宋_GB2312"/>
          <w:b w:val="0"/>
          <w:sz w:val="32"/>
          <w:szCs w:val="32"/>
          <w:highlight w:val="none"/>
          <w:lang w:val="en"/>
        </w:rPr>
        <w:t>)</w:t>
      </w:r>
      <w:r>
        <w:rPr>
          <w:rStyle w:val="14"/>
          <w:rFonts w:hint="eastAsia" w:ascii="仿宋_GB2312" w:hAnsi="仿宋_GB2312" w:eastAsia="仿宋_GB2312" w:cs="仿宋_GB2312"/>
          <w:b w:val="0"/>
          <w:sz w:val="32"/>
          <w:szCs w:val="32"/>
          <w:highlight w:val="none"/>
          <w:lang w:val="en" w:eastAsia="zh-CN"/>
        </w:rPr>
        <w:t>民政管理事务（款）</w:t>
      </w:r>
      <w:r>
        <w:rPr>
          <w:rFonts w:hint="eastAsia" w:ascii="仿宋_GB2312" w:hAnsi="仿宋_GB2312" w:eastAsia="仿宋_GB2312" w:cs="仿宋_GB2312"/>
          <w:b w:val="0"/>
          <w:bCs w:val="0"/>
          <w:sz w:val="32"/>
          <w:szCs w:val="32"/>
          <w:highlight w:val="none"/>
        </w:rPr>
        <w:t>行政区划和地名管理</w:t>
      </w:r>
      <w:r>
        <w:rPr>
          <w:rFonts w:hint="default" w:ascii="仿宋_GB2312" w:hAnsi="仿宋_GB2312" w:eastAsia="仿宋_GB2312" w:cs="仿宋_GB2312"/>
          <w:b w:val="0"/>
          <w:bCs w:val="0"/>
          <w:sz w:val="32"/>
          <w:szCs w:val="32"/>
          <w:highlight w:val="none"/>
          <w:lang w:val="en"/>
        </w:rPr>
        <w:t>(</w:t>
      </w:r>
      <w:r>
        <w:rPr>
          <w:rFonts w:hint="eastAsia" w:ascii="仿宋_GB2312" w:hAnsi="仿宋_GB2312" w:eastAsia="仿宋_GB2312" w:cs="仿宋_GB2312"/>
          <w:b w:val="0"/>
          <w:bCs w:val="0"/>
          <w:sz w:val="32"/>
          <w:szCs w:val="32"/>
          <w:highlight w:val="none"/>
          <w:lang w:val="en" w:eastAsia="zh-CN"/>
        </w:rPr>
        <w:t>项</w:t>
      </w:r>
      <w:r>
        <w:rPr>
          <w:rFonts w:hint="default" w:ascii="仿宋_GB2312" w:hAnsi="仿宋_GB2312" w:eastAsia="仿宋_GB2312" w:cs="仿宋_GB2312"/>
          <w:b w:val="0"/>
          <w:bCs w:val="0"/>
          <w:sz w:val="32"/>
          <w:szCs w:val="32"/>
          <w:highlight w:val="none"/>
          <w:lang w:val="en"/>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反映</w:t>
      </w:r>
      <w:r>
        <w:rPr>
          <w:rFonts w:hint="eastAsia" w:ascii="仿宋_GB2312" w:hAnsi="仿宋_GB2312" w:eastAsia="仿宋_GB2312" w:cs="仿宋_GB2312"/>
          <w:kern w:val="0"/>
          <w:sz w:val="32"/>
          <w:szCs w:val="32"/>
          <w:highlight w:val="none"/>
        </w:rPr>
        <w:t>行政区划管理政策和行政区域界线、地名管理办法，负责全市乡镇以上行政区划设立、命名、撤销、变更和政府驻地迁移审核报批工作，组织并指导全市行政区域界线的勘定、管理工作，调处行政区域边界争议，负责地名管理工作</w:t>
      </w:r>
      <w:r>
        <w:rPr>
          <w:rFonts w:hint="eastAsia" w:ascii="仿宋_GB2312" w:hAnsi="仿宋_GB2312" w:eastAsia="仿宋_GB2312" w:cs="仿宋_GB2312"/>
          <w:sz w:val="32"/>
          <w:szCs w:val="32"/>
          <w:highlight w:val="none"/>
          <w:lang w:val="en-US" w:eastAsia="zh-CN"/>
        </w:rPr>
        <w:t>等方面的</w:t>
      </w:r>
      <w:r>
        <w:rPr>
          <w:rFonts w:hint="eastAsia" w:ascii="仿宋_GB2312" w:hAnsi="仿宋_GB2312" w:eastAsia="仿宋_GB2312" w:cs="仿宋_GB2312"/>
          <w:sz w:val="32"/>
          <w:szCs w:val="32"/>
          <w:highlight w:val="none"/>
        </w:rPr>
        <w:t>支出。</w:t>
      </w:r>
    </w:p>
    <w:p>
      <w:pPr>
        <w:keepNext w:val="0"/>
        <w:keepLines w:val="0"/>
        <w:pageBreakBefore w:val="0"/>
        <w:numPr>
          <w:ilvl w:val="0"/>
          <w:numId w:val="0"/>
        </w:numPr>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highlight w:val="none"/>
          <w:lang w:val="en-US" w:eastAsia="zh-CN"/>
        </w:rPr>
        <w:t>9.</w:t>
      </w:r>
      <w:r>
        <w:rPr>
          <w:rStyle w:val="14"/>
          <w:rFonts w:hint="eastAsia" w:ascii="仿宋_GB2312" w:hAnsi="仿宋_GB2312" w:eastAsia="仿宋_GB2312" w:cs="仿宋_GB2312"/>
          <w:b w:val="0"/>
          <w:sz w:val="32"/>
          <w:szCs w:val="32"/>
          <w:highlight w:val="none"/>
        </w:rPr>
        <w:t>社会保障和就业支出</w:t>
      </w:r>
      <w:r>
        <w:rPr>
          <w:rStyle w:val="14"/>
          <w:rFonts w:hint="default" w:ascii="仿宋_GB2312" w:hAnsi="仿宋_GB2312" w:eastAsia="仿宋_GB2312" w:cs="仿宋_GB2312"/>
          <w:b w:val="0"/>
          <w:sz w:val="32"/>
          <w:szCs w:val="32"/>
          <w:highlight w:val="none"/>
          <w:lang w:val="en"/>
        </w:rPr>
        <w:t>(</w:t>
      </w:r>
      <w:r>
        <w:rPr>
          <w:rStyle w:val="14"/>
          <w:rFonts w:hint="eastAsia" w:ascii="仿宋_GB2312" w:hAnsi="仿宋_GB2312" w:eastAsia="仿宋_GB2312" w:cs="仿宋_GB2312"/>
          <w:b w:val="0"/>
          <w:sz w:val="32"/>
          <w:szCs w:val="32"/>
          <w:highlight w:val="none"/>
          <w:lang w:val="en" w:eastAsia="zh-CN"/>
        </w:rPr>
        <w:t>类</w:t>
      </w:r>
      <w:r>
        <w:rPr>
          <w:rStyle w:val="14"/>
          <w:rFonts w:hint="default" w:ascii="仿宋_GB2312" w:hAnsi="仿宋_GB2312" w:eastAsia="仿宋_GB2312" w:cs="仿宋_GB2312"/>
          <w:b w:val="0"/>
          <w:sz w:val="32"/>
          <w:szCs w:val="32"/>
          <w:highlight w:val="none"/>
          <w:lang w:val="en"/>
        </w:rPr>
        <w:t>)</w:t>
      </w:r>
      <w:r>
        <w:rPr>
          <w:rStyle w:val="14"/>
          <w:rFonts w:hint="eastAsia" w:ascii="仿宋_GB2312" w:hAnsi="仿宋_GB2312" w:eastAsia="仿宋_GB2312" w:cs="仿宋_GB2312"/>
          <w:b w:val="0"/>
          <w:sz w:val="32"/>
          <w:szCs w:val="32"/>
          <w:highlight w:val="none"/>
          <w:lang w:val="en" w:eastAsia="zh-CN"/>
        </w:rPr>
        <w:t>民政管理事务（款）</w:t>
      </w:r>
      <w:r>
        <w:rPr>
          <w:rFonts w:hint="eastAsia" w:ascii="仿宋_GB2312" w:hAnsi="仿宋_GB2312" w:eastAsia="仿宋_GB2312" w:cs="仿宋_GB2312"/>
          <w:b w:val="0"/>
          <w:bCs w:val="0"/>
          <w:sz w:val="32"/>
          <w:szCs w:val="32"/>
          <w:highlight w:val="none"/>
        </w:rPr>
        <w:t>基层政权和社区建设</w:t>
      </w:r>
      <w:r>
        <w:rPr>
          <w:rFonts w:hint="eastAsia" w:ascii="仿宋_GB2312" w:hAnsi="仿宋_GB2312" w:eastAsia="仿宋_GB2312" w:cs="仿宋_GB2312"/>
          <w:b w:val="0"/>
          <w:bCs w:val="0"/>
          <w:sz w:val="32"/>
          <w:szCs w:val="32"/>
          <w:highlight w:val="none"/>
          <w:lang w:eastAsia="zh-CN"/>
        </w:rPr>
        <w:t>（项）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反映</w:t>
      </w:r>
      <w:r>
        <w:rPr>
          <w:rFonts w:hint="eastAsia" w:ascii="仿宋_GB2312" w:hAnsi="仿宋_GB2312" w:eastAsia="仿宋_GB2312" w:cs="仿宋_GB2312"/>
          <w:kern w:val="0"/>
          <w:sz w:val="32"/>
          <w:szCs w:val="32"/>
          <w:highlight w:val="none"/>
        </w:rPr>
        <w:t>城乡基层群众自治建设和社区治</w:t>
      </w:r>
      <w:r>
        <w:rPr>
          <w:rFonts w:hint="eastAsia" w:ascii="仿宋_GB2312" w:hAnsi="仿宋_GB2312" w:eastAsia="仿宋_GB2312" w:cs="仿宋_GB2312"/>
          <w:kern w:val="0"/>
          <w:sz w:val="32"/>
          <w:szCs w:val="32"/>
        </w:rPr>
        <w:t>理政策，指导城乡社区治理体系、服务体系和治理能力建设，提出加强和改进城乡基层政权建设的建议，推动基层民主政治建设</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val="en-US" w:eastAsia="zh-CN"/>
        </w:rPr>
        <w:t>等方面的</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eastAsia="zh-CN"/>
        </w:rPr>
        <w:t>。</w:t>
      </w:r>
    </w:p>
    <w:p>
      <w:pPr>
        <w:keepNext w:val="0"/>
        <w:keepLines w:val="0"/>
        <w:pageBreakBefore w:val="0"/>
        <w:numPr>
          <w:ilvl w:val="0"/>
          <w:numId w:val="0"/>
        </w:numPr>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10.</w:t>
      </w:r>
      <w:r>
        <w:rPr>
          <w:rStyle w:val="14"/>
          <w:rFonts w:hint="eastAsia" w:ascii="仿宋_GB2312" w:hAnsi="仿宋_GB2312" w:eastAsia="仿宋_GB2312" w:cs="仿宋_GB2312"/>
          <w:b w:val="0"/>
          <w:sz w:val="32"/>
          <w:szCs w:val="32"/>
        </w:rPr>
        <w:t>社会保障和就业支出</w:t>
      </w:r>
      <w:r>
        <w:rPr>
          <w:rStyle w:val="14"/>
          <w:rFonts w:hint="default" w:ascii="仿宋_GB2312" w:hAnsi="仿宋_GB2312" w:eastAsia="仿宋_GB2312" w:cs="仿宋_GB2312"/>
          <w:b w:val="0"/>
          <w:sz w:val="32"/>
          <w:szCs w:val="32"/>
          <w:lang w:val="en"/>
        </w:rPr>
        <w:t>(</w:t>
      </w:r>
      <w:r>
        <w:rPr>
          <w:rStyle w:val="14"/>
          <w:rFonts w:hint="eastAsia" w:ascii="仿宋_GB2312" w:hAnsi="仿宋_GB2312" w:eastAsia="仿宋_GB2312" w:cs="仿宋_GB2312"/>
          <w:b w:val="0"/>
          <w:sz w:val="32"/>
          <w:szCs w:val="32"/>
          <w:lang w:val="en" w:eastAsia="zh-CN"/>
        </w:rPr>
        <w:t>类</w:t>
      </w:r>
      <w:r>
        <w:rPr>
          <w:rStyle w:val="14"/>
          <w:rFonts w:hint="default" w:ascii="仿宋_GB2312" w:hAnsi="仿宋_GB2312" w:eastAsia="仿宋_GB2312" w:cs="仿宋_GB2312"/>
          <w:b w:val="0"/>
          <w:sz w:val="32"/>
          <w:szCs w:val="32"/>
          <w:lang w:val="en"/>
        </w:rPr>
        <w:t>)</w:t>
      </w:r>
      <w:r>
        <w:rPr>
          <w:rStyle w:val="14"/>
          <w:rFonts w:hint="eastAsia" w:ascii="仿宋_GB2312" w:hAnsi="仿宋_GB2312" w:eastAsia="仿宋_GB2312" w:cs="仿宋_GB2312"/>
          <w:b w:val="0"/>
          <w:sz w:val="32"/>
          <w:szCs w:val="32"/>
          <w:lang w:val="en" w:eastAsia="zh-CN"/>
        </w:rPr>
        <w:t>民政管理事务（款）</w:t>
      </w:r>
      <w:r>
        <w:rPr>
          <w:rFonts w:hint="eastAsia" w:ascii="仿宋_GB2312" w:hAnsi="仿宋_GB2312" w:eastAsia="仿宋_GB2312" w:cs="仿宋_GB2312"/>
          <w:b w:val="0"/>
          <w:bCs w:val="0"/>
          <w:sz w:val="32"/>
          <w:szCs w:val="32"/>
        </w:rPr>
        <w:t>其他民政管理事务支出</w:t>
      </w:r>
      <w:r>
        <w:rPr>
          <w:rFonts w:hint="eastAsia" w:ascii="仿宋_GB2312" w:hAnsi="仿宋_GB2312" w:eastAsia="仿宋_GB2312" w:cs="仿宋_GB2312"/>
          <w:b w:val="0"/>
          <w:bCs w:val="0"/>
          <w:sz w:val="32"/>
          <w:szCs w:val="32"/>
          <w:lang w:eastAsia="zh-CN"/>
        </w:rPr>
        <w:t>（项）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反映民政部门接待来访、法制建设、政策宣传方面的支出，以及开展社会救助、社会福利、婚姻登记、社会事务、</w:t>
      </w:r>
      <w:r>
        <w:rPr>
          <w:rFonts w:hint="eastAsia" w:ascii="仿宋_GB2312" w:hAnsi="仿宋_GB2312" w:eastAsia="仿宋_GB2312" w:cs="仿宋_GB2312"/>
          <w:sz w:val="32"/>
          <w:szCs w:val="32"/>
          <w:lang w:val="en-US" w:eastAsia="zh-CN"/>
        </w:rPr>
        <w:t>驻纪检组、“两改办”等</w:t>
      </w:r>
      <w:r>
        <w:rPr>
          <w:rFonts w:hint="eastAsia" w:ascii="仿宋_GB2312" w:hAnsi="仿宋_GB2312" w:eastAsia="仿宋_GB2312" w:cs="仿宋_GB2312"/>
          <w:sz w:val="32"/>
          <w:szCs w:val="32"/>
        </w:rPr>
        <w:t>信息化建设专项业务的支出。</w:t>
      </w:r>
    </w:p>
    <w:p>
      <w:pPr>
        <w:keepNext w:val="0"/>
        <w:keepLines w:val="0"/>
        <w:pageBreakBefore w:val="0"/>
        <w:numPr>
          <w:ilvl w:val="0"/>
          <w:numId w:val="0"/>
        </w:numPr>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11.</w:t>
      </w:r>
      <w:r>
        <w:rPr>
          <w:rStyle w:val="14"/>
          <w:rFonts w:hint="eastAsia" w:ascii="仿宋_GB2312" w:hAnsi="仿宋_GB2312" w:eastAsia="仿宋_GB2312" w:cs="仿宋_GB2312"/>
          <w:b w:val="0"/>
          <w:sz w:val="32"/>
          <w:szCs w:val="32"/>
        </w:rPr>
        <w:t>社会保障和就业支出</w:t>
      </w:r>
      <w:r>
        <w:rPr>
          <w:rStyle w:val="14"/>
          <w:rFonts w:hint="eastAsia" w:ascii="仿宋_GB2312" w:hAnsi="仿宋_GB2312" w:eastAsia="仿宋_GB2312" w:cs="仿宋_GB2312"/>
          <w:bCs/>
          <w:sz w:val="32"/>
          <w:szCs w:val="32"/>
        </w:rPr>
        <w:t>（类）</w:t>
      </w:r>
      <w:r>
        <w:rPr>
          <w:rFonts w:hint="eastAsia" w:ascii="仿宋_GB2312" w:hAnsi="仿宋_GB2312" w:eastAsia="仿宋_GB2312" w:cs="仿宋_GB2312"/>
          <w:bCs/>
          <w:sz w:val="32"/>
          <w:szCs w:val="32"/>
        </w:rPr>
        <w:t>行政事业单位养老支出</w:t>
      </w:r>
      <w:r>
        <w:rPr>
          <w:rStyle w:val="14"/>
          <w:rFonts w:hint="eastAsia" w:ascii="仿宋_GB2312" w:hAnsi="仿宋_GB2312" w:eastAsia="仿宋_GB2312" w:cs="仿宋_GB2312"/>
          <w:bCs/>
          <w:sz w:val="32"/>
          <w:szCs w:val="32"/>
        </w:rPr>
        <w:t>（款）</w:t>
      </w:r>
      <w:r>
        <w:rPr>
          <w:rStyle w:val="14"/>
          <w:rFonts w:hint="eastAsia" w:ascii="仿宋_GB2312" w:hAnsi="仿宋_GB2312" w:eastAsia="仿宋_GB2312" w:cs="仿宋_GB2312"/>
          <w:bCs/>
          <w:sz w:val="32"/>
          <w:szCs w:val="32"/>
          <w:lang w:val="en-US" w:eastAsia="zh-CN"/>
        </w:rPr>
        <w:t>行政单位离退休（项）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反映未实行归口管理的行政单位（包括实行公务员管理的事业单位）开支的离退休支出。</w:t>
      </w:r>
    </w:p>
    <w:p>
      <w:pPr>
        <w:keepNext w:val="0"/>
        <w:keepLines w:val="0"/>
        <w:pageBreakBefore w:val="0"/>
        <w:numPr>
          <w:ilvl w:val="0"/>
          <w:numId w:val="0"/>
        </w:numPr>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12.</w:t>
      </w:r>
      <w:r>
        <w:rPr>
          <w:rStyle w:val="14"/>
          <w:rFonts w:hint="eastAsia" w:ascii="仿宋_GB2312" w:hAnsi="仿宋_GB2312" w:eastAsia="仿宋_GB2312" w:cs="仿宋_GB2312"/>
          <w:b w:val="0"/>
          <w:sz w:val="32"/>
          <w:szCs w:val="32"/>
        </w:rPr>
        <w:t>社会保障和就业支出</w:t>
      </w:r>
      <w:r>
        <w:rPr>
          <w:rStyle w:val="14"/>
          <w:rFonts w:hint="eastAsia" w:ascii="仿宋_GB2312" w:hAnsi="仿宋_GB2312" w:eastAsia="仿宋_GB2312" w:cs="仿宋_GB2312"/>
          <w:bCs/>
          <w:sz w:val="32"/>
          <w:szCs w:val="32"/>
        </w:rPr>
        <w:t>（类）行政事业单位养老支出</w:t>
      </w:r>
      <w:r>
        <w:rPr>
          <w:rStyle w:val="14"/>
          <w:rFonts w:hint="eastAsia" w:ascii="仿宋_GB2312" w:hAnsi="仿宋_GB2312" w:eastAsia="仿宋_GB2312" w:cs="仿宋_GB2312"/>
          <w:bCs/>
          <w:sz w:val="32"/>
          <w:szCs w:val="32"/>
          <w:lang w:eastAsia="zh-CN"/>
        </w:rPr>
        <w:t>（款）</w:t>
      </w:r>
      <w:r>
        <w:rPr>
          <w:rFonts w:hint="eastAsia" w:ascii="仿宋_GB2312" w:hAnsi="仿宋_GB2312" w:eastAsia="仿宋_GB2312" w:cs="仿宋_GB2312"/>
          <w:bCs/>
          <w:sz w:val="32"/>
          <w:szCs w:val="32"/>
          <w:lang w:val="en-US" w:eastAsia="zh-CN"/>
        </w:rPr>
        <w:t>机关事业单位基本养老保险缴费支出</w:t>
      </w:r>
      <w:r>
        <w:rPr>
          <w:rStyle w:val="14"/>
          <w:rFonts w:hint="eastAsia" w:ascii="仿宋_GB2312" w:hAnsi="仿宋_GB2312" w:eastAsia="仿宋_GB2312" w:cs="仿宋_GB2312"/>
          <w:bCs/>
          <w:sz w:val="32"/>
          <w:szCs w:val="32"/>
        </w:rPr>
        <w:t>（</w:t>
      </w:r>
      <w:r>
        <w:rPr>
          <w:rStyle w:val="14"/>
          <w:rFonts w:hint="eastAsia" w:ascii="仿宋_GB2312" w:hAnsi="仿宋_GB2312" w:eastAsia="仿宋_GB2312" w:cs="仿宋_GB2312"/>
          <w:bCs/>
          <w:sz w:val="32"/>
          <w:szCs w:val="32"/>
          <w:lang w:eastAsia="zh-CN"/>
        </w:rPr>
        <w:t>项</w:t>
      </w:r>
      <w:r>
        <w:rPr>
          <w:rStyle w:val="14"/>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反映机关事业单位实施养老保险制度由单位缴纳的基本养老保险费支出。</w:t>
      </w:r>
    </w:p>
    <w:p>
      <w:pPr>
        <w:keepNext w:val="0"/>
        <w:keepLines w:val="0"/>
        <w:pageBreakBefore w:val="0"/>
        <w:numPr>
          <w:ilvl w:val="0"/>
          <w:numId w:val="0"/>
        </w:numPr>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13.</w:t>
      </w:r>
      <w:r>
        <w:rPr>
          <w:rStyle w:val="14"/>
          <w:rFonts w:hint="eastAsia" w:ascii="仿宋_GB2312" w:hAnsi="仿宋_GB2312" w:eastAsia="仿宋_GB2312" w:cs="仿宋_GB2312"/>
          <w:b w:val="0"/>
          <w:color w:val="auto"/>
          <w:sz w:val="32"/>
          <w:szCs w:val="32"/>
        </w:rPr>
        <w:t>社会保障和就业支出</w:t>
      </w:r>
      <w:r>
        <w:rPr>
          <w:rStyle w:val="14"/>
          <w:rFonts w:hint="eastAsia" w:ascii="仿宋_GB2312" w:hAnsi="仿宋_GB2312" w:eastAsia="仿宋_GB2312" w:cs="仿宋_GB2312"/>
          <w:bCs/>
          <w:color w:val="auto"/>
          <w:sz w:val="32"/>
          <w:szCs w:val="32"/>
        </w:rPr>
        <w:t>（类）</w:t>
      </w:r>
      <w:r>
        <w:rPr>
          <w:rFonts w:hint="eastAsia" w:ascii="仿宋_GB2312" w:hAnsi="仿宋_GB2312" w:eastAsia="仿宋_GB2312" w:cs="仿宋_GB2312"/>
          <w:bCs/>
          <w:color w:val="auto"/>
          <w:sz w:val="32"/>
          <w:szCs w:val="32"/>
        </w:rPr>
        <w:t>行政事业单位养老支出</w:t>
      </w:r>
      <w:r>
        <w:rPr>
          <w:rStyle w:val="14"/>
          <w:rFonts w:hint="eastAsia" w:ascii="仿宋_GB2312" w:hAnsi="仿宋_GB2312" w:eastAsia="仿宋_GB2312" w:cs="仿宋_GB2312"/>
          <w:bCs/>
          <w:color w:val="auto"/>
          <w:sz w:val="32"/>
          <w:szCs w:val="32"/>
        </w:rPr>
        <w:t>（款）</w:t>
      </w:r>
      <w:r>
        <w:rPr>
          <w:rStyle w:val="14"/>
          <w:rFonts w:hint="eastAsia" w:ascii="仿宋_GB2312" w:hAnsi="仿宋_GB2312" w:eastAsia="仿宋_GB2312" w:cs="仿宋_GB2312"/>
          <w:bCs/>
          <w:color w:val="auto"/>
          <w:sz w:val="32"/>
          <w:szCs w:val="32"/>
          <w:lang w:val="en-US" w:eastAsia="zh-CN"/>
        </w:rPr>
        <w:t>机关事业单位职业年金缴费支出（项）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反映机关事业单位实施养老保险制度由单位实际缴纳的职业年金支出。</w:t>
      </w:r>
    </w:p>
    <w:p>
      <w:pPr>
        <w:keepNext w:val="0"/>
        <w:keepLines w:val="0"/>
        <w:pageBreakBefore w:val="0"/>
        <w:numPr>
          <w:ilvl w:val="0"/>
          <w:numId w:val="0"/>
        </w:numPr>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14.</w:t>
      </w:r>
      <w:r>
        <w:rPr>
          <w:rStyle w:val="14"/>
          <w:rFonts w:hint="eastAsia" w:ascii="仿宋_GB2312" w:hAnsi="仿宋_GB2312" w:eastAsia="仿宋_GB2312" w:cs="仿宋_GB2312"/>
          <w:b w:val="0"/>
          <w:sz w:val="32"/>
          <w:szCs w:val="32"/>
        </w:rPr>
        <w:t>社会保障和就业支出</w:t>
      </w:r>
      <w:r>
        <w:rPr>
          <w:rStyle w:val="14"/>
          <w:rFonts w:hint="eastAsia" w:ascii="仿宋_GB2312" w:hAnsi="仿宋_GB2312" w:eastAsia="仿宋_GB2312" w:cs="仿宋_GB2312"/>
          <w:bCs/>
          <w:sz w:val="32"/>
          <w:szCs w:val="32"/>
        </w:rPr>
        <w:t>（类）</w:t>
      </w:r>
      <w:r>
        <w:rPr>
          <w:rStyle w:val="14"/>
          <w:rFonts w:hint="eastAsia" w:ascii="仿宋_GB2312" w:hAnsi="仿宋_GB2312" w:eastAsia="仿宋_GB2312" w:cs="仿宋_GB2312"/>
          <w:b w:val="0"/>
          <w:sz w:val="32"/>
          <w:szCs w:val="32"/>
        </w:rPr>
        <w:t>抚恤</w:t>
      </w:r>
      <w:r>
        <w:rPr>
          <w:rStyle w:val="14"/>
          <w:rFonts w:hint="eastAsia" w:ascii="仿宋_GB2312" w:hAnsi="仿宋_GB2312" w:eastAsia="仿宋_GB2312" w:cs="仿宋_GB2312"/>
          <w:bCs/>
          <w:sz w:val="32"/>
          <w:szCs w:val="32"/>
        </w:rPr>
        <w:t>（款）</w:t>
      </w:r>
      <w:r>
        <w:rPr>
          <w:rFonts w:hint="eastAsia" w:ascii="仿宋_GB2312" w:hAnsi="仿宋_GB2312" w:eastAsia="仿宋_GB2312" w:cs="仿宋_GB2312"/>
          <w:sz w:val="32"/>
          <w:szCs w:val="32"/>
        </w:rPr>
        <w:t>死亡</w:t>
      </w:r>
      <w:r>
        <w:rPr>
          <w:rStyle w:val="14"/>
          <w:rFonts w:hint="eastAsia" w:ascii="仿宋_GB2312" w:hAnsi="仿宋_GB2312" w:eastAsia="仿宋_GB2312" w:cs="仿宋_GB2312"/>
          <w:b w:val="0"/>
          <w:sz w:val="32"/>
          <w:szCs w:val="32"/>
        </w:rPr>
        <w:t>抚恤</w:t>
      </w:r>
      <w:r>
        <w:rPr>
          <w:rStyle w:val="14"/>
          <w:rFonts w:hint="eastAsia" w:ascii="仿宋_GB2312" w:hAnsi="仿宋_GB2312" w:eastAsia="仿宋_GB2312" w:cs="仿宋_GB2312"/>
          <w:bCs/>
          <w:sz w:val="32"/>
          <w:szCs w:val="32"/>
        </w:rPr>
        <w:t>（项）</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反映按规定用于病故人员家属的一次性和定期抚恤金以及丧葬补助费。</w:t>
      </w:r>
    </w:p>
    <w:p>
      <w:pPr>
        <w:keepNext w:val="0"/>
        <w:keepLines w:val="0"/>
        <w:pageBreakBefore w:val="0"/>
        <w:numPr>
          <w:ilvl w:val="0"/>
          <w:numId w:val="0"/>
        </w:numPr>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16.</w:t>
      </w:r>
      <w:r>
        <w:rPr>
          <w:rStyle w:val="14"/>
          <w:rFonts w:hint="eastAsia" w:ascii="仿宋_GB2312" w:hAnsi="仿宋_GB2312" w:eastAsia="仿宋_GB2312" w:cs="仿宋_GB2312"/>
          <w:b w:val="0"/>
          <w:sz w:val="32"/>
          <w:szCs w:val="32"/>
        </w:rPr>
        <w:t>社会保障和就业支出</w:t>
      </w:r>
      <w:r>
        <w:rPr>
          <w:rStyle w:val="14"/>
          <w:rFonts w:hint="eastAsia" w:ascii="仿宋_GB2312" w:hAnsi="仿宋_GB2312" w:eastAsia="仿宋_GB2312" w:cs="仿宋_GB2312"/>
          <w:bCs/>
          <w:sz w:val="32"/>
          <w:szCs w:val="32"/>
        </w:rPr>
        <w:t>（类）</w:t>
      </w:r>
      <w:r>
        <w:rPr>
          <w:rFonts w:hint="eastAsia" w:ascii="仿宋_GB2312" w:hAnsi="仿宋_GB2312" w:eastAsia="仿宋_GB2312" w:cs="仿宋_GB2312"/>
          <w:sz w:val="32"/>
          <w:szCs w:val="32"/>
        </w:rPr>
        <w:t>社会福利</w:t>
      </w:r>
      <w:r>
        <w:rPr>
          <w:rStyle w:val="14"/>
          <w:rFonts w:hint="eastAsia" w:ascii="仿宋_GB2312" w:hAnsi="仿宋_GB2312" w:eastAsia="仿宋_GB2312" w:cs="仿宋_GB2312"/>
          <w:bCs/>
          <w:sz w:val="32"/>
          <w:szCs w:val="32"/>
        </w:rPr>
        <w:t>（款）</w:t>
      </w:r>
      <w:r>
        <w:rPr>
          <w:rStyle w:val="14"/>
          <w:rFonts w:hint="eastAsia" w:ascii="仿宋_GB2312" w:hAnsi="仿宋_GB2312" w:eastAsia="仿宋_GB2312" w:cs="仿宋_GB2312"/>
          <w:bCs/>
          <w:sz w:val="32"/>
          <w:szCs w:val="32"/>
          <w:lang w:val="en-US" w:eastAsia="zh-CN"/>
        </w:rPr>
        <w:t>儿童福利</w:t>
      </w:r>
      <w:r>
        <w:rPr>
          <w:rStyle w:val="14"/>
          <w:rFonts w:hint="eastAsia" w:ascii="仿宋_GB2312" w:hAnsi="仿宋_GB2312" w:eastAsia="仿宋_GB2312" w:cs="仿宋_GB2312"/>
          <w:bCs/>
          <w:sz w:val="32"/>
          <w:szCs w:val="32"/>
        </w:rPr>
        <w:t>（项）</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反映对儿童提供福利服务方面的支出。</w:t>
      </w:r>
    </w:p>
    <w:p>
      <w:pPr>
        <w:keepNext w:val="0"/>
        <w:keepLines w:val="0"/>
        <w:pageBreakBefore w:val="0"/>
        <w:numPr>
          <w:ilvl w:val="0"/>
          <w:numId w:val="0"/>
        </w:numPr>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17.</w:t>
      </w:r>
      <w:r>
        <w:rPr>
          <w:rStyle w:val="14"/>
          <w:rFonts w:hint="eastAsia" w:ascii="仿宋_GB2312" w:hAnsi="仿宋_GB2312" w:eastAsia="仿宋_GB2312" w:cs="仿宋_GB2312"/>
          <w:b w:val="0"/>
          <w:sz w:val="32"/>
          <w:szCs w:val="32"/>
        </w:rPr>
        <w:t>社会保障和就业支出</w:t>
      </w:r>
      <w:r>
        <w:rPr>
          <w:rStyle w:val="14"/>
          <w:rFonts w:hint="eastAsia" w:ascii="仿宋_GB2312" w:hAnsi="仿宋_GB2312" w:eastAsia="仿宋_GB2312" w:cs="仿宋_GB2312"/>
          <w:bCs/>
          <w:sz w:val="32"/>
          <w:szCs w:val="32"/>
        </w:rPr>
        <w:t>（类）</w:t>
      </w:r>
      <w:r>
        <w:rPr>
          <w:rFonts w:hint="eastAsia" w:ascii="仿宋_GB2312" w:hAnsi="仿宋_GB2312" w:eastAsia="仿宋_GB2312" w:cs="仿宋_GB2312"/>
          <w:sz w:val="32"/>
          <w:szCs w:val="32"/>
        </w:rPr>
        <w:t>社会福利</w:t>
      </w:r>
      <w:r>
        <w:rPr>
          <w:rStyle w:val="14"/>
          <w:rFonts w:hint="eastAsia" w:ascii="仿宋_GB2312" w:hAnsi="仿宋_GB2312" w:eastAsia="仿宋_GB2312" w:cs="仿宋_GB2312"/>
          <w:bCs/>
          <w:sz w:val="32"/>
          <w:szCs w:val="32"/>
        </w:rPr>
        <w:t>（款）</w:t>
      </w:r>
      <w:r>
        <w:rPr>
          <w:rStyle w:val="14"/>
          <w:rFonts w:hint="eastAsia" w:ascii="仿宋_GB2312" w:hAnsi="仿宋_GB2312" w:eastAsia="仿宋_GB2312" w:cs="仿宋_GB2312"/>
          <w:bCs/>
          <w:sz w:val="32"/>
          <w:szCs w:val="32"/>
          <w:lang w:val="en-US" w:eastAsia="zh-CN"/>
        </w:rPr>
        <w:t>殡葬</w:t>
      </w:r>
      <w:r>
        <w:rPr>
          <w:rStyle w:val="14"/>
          <w:rFonts w:hint="eastAsia" w:ascii="仿宋_GB2312" w:hAnsi="仿宋_GB2312" w:eastAsia="仿宋_GB2312" w:cs="仿宋_GB2312"/>
          <w:bCs/>
          <w:sz w:val="32"/>
          <w:szCs w:val="32"/>
        </w:rPr>
        <w:t>（项）</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kern w:val="0"/>
          <w:sz w:val="32"/>
          <w:szCs w:val="32"/>
        </w:rPr>
        <w:t>拟订殡葬管理政策、服务规范并组织实施，负责殡葬管理工作，推进殡葬改革</w:t>
      </w:r>
      <w:r>
        <w:rPr>
          <w:rFonts w:hint="eastAsia" w:ascii="仿宋_GB2312" w:hAnsi="仿宋_GB2312" w:eastAsia="仿宋_GB2312" w:cs="仿宋_GB2312"/>
          <w:sz w:val="32"/>
          <w:szCs w:val="32"/>
          <w:lang w:val="en-US" w:eastAsia="zh-CN"/>
        </w:rPr>
        <w:t>等工作方面的支出</w:t>
      </w:r>
      <w:r>
        <w:rPr>
          <w:rFonts w:hint="eastAsia" w:ascii="仿宋_GB2312" w:hAnsi="仿宋_GB2312" w:eastAsia="仿宋_GB2312" w:cs="仿宋_GB2312"/>
          <w:sz w:val="32"/>
          <w:szCs w:val="32"/>
        </w:rPr>
        <w:t>。</w:t>
      </w:r>
    </w:p>
    <w:p>
      <w:pPr>
        <w:keepNext w:val="0"/>
        <w:keepLines w:val="0"/>
        <w:pageBreakBefore w:val="0"/>
        <w:numPr>
          <w:ilvl w:val="0"/>
          <w:numId w:val="0"/>
        </w:numPr>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lang w:val="en-US" w:eastAsia="zh-CN"/>
        </w:rPr>
        <w:t>18</w:t>
      </w:r>
      <w:r>
        <w:rPr>
          <w:rFonts w:hint="eastAsia" w:ascii="仿宋_GB2312" w:hAnsi="仿宋_GB2312" w:eastAsia="仿宋_GB2312" w:cs="仿宋_GB2312"/>
          <w:b w:val="0"/>
          <w:bCs w:val="0"/>
          <w:sz w:val="32"/>
          <w:szCs w:val="32"/>
          <w:highlight w:val="none"/>
          <w:lang w:val="en-US" w:eastAsia="zh-CN"/>
        </w:rPr>
        <w:t>.</w:t>
      </w:r>
      <w:r>
        <w:rPr>
          <w:rStyle w:val="14"/>
          <w:rFonts w:hint="eastAsia" w:ascii="仿宋_GB2312" w:hAnsi="仿宋_GB2312" w:eastAsia="仿宋_GB2312" w:cs="仿宋_GB2312"/>
          <w:b w:val="0"/>
          <w:sz w:val="32"/>
          <w:szCs w:val="32"/>
          <w:highlight w:val="none"/>
        </w:rPr>
        <w:t>社会保障和就业支出</w:t>
      </w:r>
      <w:r>
        <w:rPr>
          <w:rStyle w:val="14"/>
          <w:rFonts w:hint="eastAsia" w:ascii="仿宋_GB2312" w:hAnsi="仿宋_GB2312" w:eastAsia="仿宋_GB2312" w:cs="仿宋_GB2312"/>
          <w:bCs/>
          <w:sz w:val="32"/>
          <w:szCs w:val="32"/>
          <w:highlight w:val="none"/>
        </w:rPr>
        <w:t>（类）</w:t>
      </w:r>
      <w:r>
        <w:rPr>
          <w:rFonts w:hint="eastAsia" w:ascii="仿宋_GB2312" w:hAnsi="仿宋_GB2312" w:eastAsia="仿宋_GB2312" w:cs="仿宋_GB2312"/>
          <w:sz w:val="32"/>
          <w:szCs w:val="32"/>
          <w:highlight w:val="none"/>
        </w:rPr>
        <w:t>社会福利</w:t>
      </w:r>
      <w:r>
        <w:rPr>
          <w:rStyle w:val="14"/>
          <w:rFonts w:hint="eastAsia" w:ascii="仿宋_GB2312" w:hAnsi="仿宋_GB2312" w:eastAsia="仿宋_GB2312" w:cs="仿宋_GB2312"/>
          <w:bCs/>
          <w:sz w:val="32"/>
          <w:szCs w:val="32"/>
          <w:highlight w:val="none"/>
        </w:rPr>
        <w:t>（款）</w:t>
      </w:r>
      <w:r>
        <w:rPr>
          <w:rStyle w:val="14"/>
          <w:rFonts w:hint="eastAsia" w:ascii="仿宋_GB2312" w:hAnsi="仿宋_GB2312" w:eastAsia="仿宋_GB2312" w:cs="仿宋_GB2312"/>
          <w:bCs/>
          <w:sz w:val="32"/>
          <w:szCs w:val="32"/>
          <w:highlight w:val="none"/>
          <w:lang w:val="en-US" w:eastAsia="zh-CN"/>
        </w:rPr>
        <w:t>社会福利事业单位</w:t>
      </w:r>
      <w:r>
        <w:rPr>
          <w:rStyle w:val="14"/>
          <w:rFonts w:hint="eastAsia" w:ascii="仿宋_GB2312" w:hAnsi="仿宋_GB2312" w:eastAsia="仿宋_GB2312" w:cs="仿宋_GB2312"/>
          <w:bCs/>
          <w:sz w:val="32"/>
          <w:szCs w:val="32"/>
          <w:highlight w:val="none"/>
        </w:rPr>
        <w:t>（项）</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反映民政部门举办的社会福利事业单位的支出，以及对集体社会福利事业单位的补助费。</w:t>
      </w:r>
    </w:p>
    <w:p>
      <w:pPr>
        <w:keepNext w:val="0"/>
        <w:keepLines w:val="0"/>
        <w:pageBreakBefore w:val="0"/>
        <w:numPr>
          <w:ilvl w:val="0"/>
          <w:numId w:val="0"/>
        </w:numPr>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highlight w:val="none"/>
          <w:lang w:val="en-US" w:eastAsia="zh-CN"/>
        </w:rPr>
        <w:t>19.</w:t>
      </w:r>
      <w:r>
        <w:rPr>
          <w:rStyle w:val="14"/>
          <w:rFonts w:hint="eastAsia" w:ascii="仿宋_GB2312" w:hAnsi="仿宋_GB2312" w:eastAsia="仿宋_GB2312" w:cs="仿宋_GB2312"/>
          <w:b w:val="0"/>
          <w:sz w:val="32"/>
          <w:szCs w:val="32"/>
          <w:highlight w:val="none"/>
        </w:rPr>
        <w:t>社会保障和就业支出</w:t>
      </w:r>
      <w:r>
        <w:rPr>
          <w:rStyle w:val="14"/>
          <w:rFonts w:hint="eastAsia" w:ascii="仿宋_GB2312" w:hAnsi="仿宋_GB2312" w:eastAsia="仿宋_GB2312" w:cs="仿宋_GB2312"/>
          <w:bCs/>
          <w:sz w:val="32"/>
          <w:szCs w:val="32"/>
          <w:highlight w:val="none"/>
        </w:rPr>
        <w:t>（类）</w:t>
      </w:r>
      <w:r>
        <w:rPr>
          <w:rFonts w:hint="eastAsia" w:ascii="仿宋_GB2312" w:hAnsi="仿宋_GB2312" w:eastAsia="仿宋_GB2312" w:cs="仿宋_GB2312"/>
          <w:sz w:val="32"/>
          <w:szCs w:val="32"/>
          <w:highlight w:val="none"/>
        </w:rPr>
        <w:t>社会福利</w:t>
      </w:r>
      <w:r>
        <w:rPr>
          <w:rStyle w:val="14"/>
          <w:rFonts w:hint="eastAsia" w:ascii="仿宋_GB2312" w:hAnsi="仿宋_GB2312" w:eastAsia="仿宋_GB2312" w:cs="仿宋_GB2312"/>
          <w:bCs/>
          <w:sz w:val="32"/>
          <w:szCs w:val="32"/>
          <w:highlight w:val="none"/>
        </w:rPr>
        <w:t>（款）</w:t>
      </w:r>
      <w:r>
        <w:rPr>
          <w:rFonts w:hint="eastAsia" w:ascii="仿宋_GB2312" w:hAnsi="仿宋_GB2312" w:eastAsia="仿宋_GB2312" w:cs="仿宋_GB2312"/>
          <w:b w:val="0"/>
          <w:bCs w:val="0"/>
          <w:sz w:val="32"/>
          <w:szCs w:val="32"/>
          <w:highlight w:val="none"/>
        </w:rPr>
        <w:t>其他社会福利支</w:t>
      </w:r>
      <w:r>
        <w:rPr>
          <w:rFonts w:hint="eastAsia" w:ascii="仿宋_GB2312" w:hAnsi="仿宋_GB2312" w:eastAsia="仿宋_GB2312" w:cs="仿宋_GB2312"/>
          <w:b w:val="0"/>
          <w:bCs w:val="0"/>
          <w:sz w:val="32"/>
          <w:szCs w:val="32"/>
        </w:rPr>
        <w:t>出</w:t>
      </w:r>
      <w:r>
        <w:rPr>
          <w:rFonts w:hint="eastAsia" w:ascii="仿宋_GB2312" w:hAnsi="仿宋_GB2312" w:eastAsia="仿宋_GB2312" w:cs="仿宋_GB2312"/>
          <w:b w:val="0"/>
          <w:bCs w:val="0"/>
          <w:sz w:val="32"/>
          <w:szCs w:val="32"/>
          <w:lang w:eastAsia="zh-CN"/>
        </w:rPr>
        <w:t>（项）：</w:t>
      </w:r>
      <w:r>
        <w:rPr>
          <w:rFonts w:hint="eastAsia" w:ascii="仿宋_GB2312" w:hAnsi="仿宋_GB2312" w:eastAsia="仿宋_GB2312" w:cs="仿宋_GB2312"/>
          <w:sz w:val="32"/>
          <w:szCs w:val="32"/>
        </w:rPr>
        <w:t>反映除上述项目以外其他用于社会福利方面的支出。</w:t>
      </w:r>
    </w:p>
    <w:p>
      <w:pPr>
        <w:keepNext w:val="0"/>
        <w:keepLines w:val="0"/>
        <w:pageBreakBefore w:val="0"/>
        <w:numPr>
          <w:ilvl w:val="0"/>
          <w:numId w:val="0"/>
        </w:numPr>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20.</w:t>
      </w:r>
      <w:r>
        <w:rPr>
          <w:rStyle w:val="14"/>
          <w:rFonts w:hint="eastAsia" w:ascii="仿宋_GB2312" w:hAnsi="仿宋_GB2312" w:eastAsia="仿宋_GB2312" w:cs="仿宋_GB2312"/>
          <w:b w:val="0"/>
          <w:sz w:val="32"/>
          <w:szCs w:val="32"/>
        </w:rPr>
        <w:t>社会保障和就业支出</w:t>
      </w:r>
      <w:r>
        <w:rPr>
          <w:rStyle w:val="14"/>
          <w:rFonts w:hint="eastAsia" w:ascii="仿宋_GB2312" w:hAnsi="仿宋_GB2312" w:eastAsia="仿宋_GB2312" w:cs="仿宋_GB2312"/>
          <w:bCs/>
          <w:sz w:val="32"/>
          <w:szCs w:val="32"/>
        </w:rPr>
        <w:t>（类）</w:t>
      </w:r>
      <w:r>
        <w:rPr>
          <w:rFonts w:hint="eastAsia" w:ascii="仿宋_GB2312" w:hAnsi="仿宋_GB2312" w:eastAsia="仿宋_GB2312" w:cs="仿宋_GB2312"/>
          <w:bCs/>
          <w:sz w:val="32"/>
          <w:szCs w:val="32"/>
        </w:rPr>
        <w:t>临时救助</w:t>
      </w:r>
      <w:r>
        <w:rPr>
          <w:rStyle w:val="14"/>
          <w:rFonts w:hint="eastAsia" w:ascii="仿宋_GB2312" w:hAnsi="仿宋_GB2312" w:eastAsia="仿宋_GB2312" w:cs="仿宋_GB2312"/>
          <w:bCs/>
          <w:sz w:val="32"/>
          <w:szCs w:val="32"/>
        </w:rPr>
        <w:t>（款）</w:t>
      </w:r>
      <w:r>
        <w:rPr>
          <w:rFonts w:hint="eastAsia" w:ascii="仿宋_GB2312" w:hAnsi="仿宋_GB2312" w:eastAsia="仿宋_GB2312" w:cs="仿宋_GB2312"/>
          <w:bCs/>
          <w:sz w:val="32"/>
          <w:szCs w:val="32"/>
          <w:lang w:val="en-US" w:eastAsia="zh-CN"/>
        </w:rPr>
        <w:t>流浪乞讨人员</w:t>
      </w:r>
      <w:r>
        <w:rPr>
          <w:rFonts w:hint="eastAsia" w:ascii="仿宋_GB2312" w:hAnsi="仿宋_GB2312" w:eastAsia="仿宋_GB2312" w:cs="仿宋_GB2312"/>
          <w:bCs/>
          <w:sz w:val="32"/>
          <w:szCs w:val="32"/>
        </w:rPr>
        <w:t>救助支出</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项</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反映城乡生活困难居民的临时</w:t>
      </w:r>
      <w:r>
        <w:rPr>
          <w:rFonts w:hint="eastAsia" w:ascii="仿宋_GB2312" w:hAnsi="仿宋_GB2312" w:eastAsia="仿宋_GB2312" w:cs="仿宋_GB2312"/>
          <w:sz w:val="32"/>
          <w:szCs w:val="32"/>
          <w:lang w:val="en-US" w:eastAsia="zh-CN"/>
        </w:rPr>
        <w:t>生活</w:t>
      </w:r>
      <w:r>
        <w:rPr>
          <w:rFonts w:hint="eastAsia" w:ascii="仿宋_GB2312" w:hAnsi="仿宋_GB2312" w:eastAsia="仿宋_GB2312" w:cs="仿宋_GB2312"/>
          <w:sz w:val="32"/>
          <w:szCs w:val="32"/>
        </w:rPr>
        <w:t>救助等支出。</w:t>
      </w:r>
    </w:p>
    <w:p>
      <w:pPr>
        <w:keepNext w:val="0"/>
        <w:keepLines w:val="0"/>
        <w:pageBreakBefore w:val="0"/>
        <w:numPr>
          <w:ilvl w:val="0"/>
          <w:numId w:val="0"/>
        </w:numPr>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21.</w:t>
      </w:r>
      <w:r>
        <w:rPr>
          <w:rStyle w:val="14"/>
          <w:rFonts w:hint="eastAsia" w:ascii="仿宋_GB2312" w:hAnsi="仿宋_GB2312" w:eastAsia="仿宋_GB2312" w:cs="仿宋_GB2312"/>
          <w:b w:val="0"/>
          <w:sz w:val="32"/>
          <w:szCs w:val="32"/>
        </w:rPr>
        <w:t>社会保障和就业支出</w:t>
      </w:r>
      <w:r>
        <w:rPr>
          <w:rStyle w:val="14"/>
          <w:rFonts w:hint="eastAsia" w:ascii="仿宋_GB2312" w:hAnsi="仿宋_GB2312" w:eastAsia="仿宋_GB2312" w:cs="仿宋_GB2312"/>
          <w:bCs/>
          <w:sz w:val="32"/>
          <w:szCs w:val="32"/>
        </w:rPr>
        <w:t>（类）</w:t>
      </w:r>
      <w:r>
        <w:rPr>
          <w:rFonts w:hint="eastAsia" w:ascii="仿宋_GB2312" w:hAnsi="仿宋_GB2312" w:eastAsia="仿宋_GB2312" w:cs="仿宋_GB2312"/>
          <w:bCs/>
          <w:sz w:val="32"/>
          <w:szCs w:val="32"/>
        </w:rPr>
        <w:t>临时救助</w:t>
      </w:r>
      <w:r>
        <w:rPr>
          <w:rStyle w:val="14"/>
          <w:rFonts w:hint="eastAsia" w:ascii="仿宋_GB2312" w:hAnsi="仿宋_GB2312" w:eastAsia="仿宋_GB2312" w:cs="仿宋_GB2312"/>
          <w:bCs/>
          <w:sz w:val="32"/>
          <w:szCs w:val="32"/>
        </w:rPr>
        <w:t>（款）</w:t>
      </w:r>
      <w:r>
        <w:rPr>
          <w:rFonts w:hint="eastAsia" w:ascii="仿宋_GB2312" w:hAnsi="仿宋_GB2312" w:eastAsia="仿宋_GB2312" w:cs="仿宋_GB2312"/>
          <w:bCs/>
          <w:sz w:val="32"/>
          <w:szCs w:val="32"/>
          <w:lang w:val="en-US" w:eastAsia="zh-CN"/>
        </w:rPr>
        <w:t>流浪乞讨人员</w:t>
      </w:r>
      <w:r>
        <w:rPr>
          <w:rFonts w:hint="eastAsia" w:ascii="仿宋_GB2312" w:hAnsi="仿宋_GB2312" w:eastAsia="仿宋_GB2312" w:cs="仿宋_GB2312"/>
          <w:bCs/>
          <w:sz w:val="32"/>
          <w:szCs w:val="32"/>
        </w:rPr>
        <w:t>救助支出</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项</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反映用于生活无着的流浪乞讨人员的救助支出和救助管理机构的运转支出。</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lang w:val="en-US" w:eastAsia="zh-CN"/>
        </w:rPr>
        <w:t>22.</w:t>
      </w:r>
      <w:r>
        <w:rPr>
          <w:rStyle w:val="14"/>
          <w:rFonts w:hint="eastAsia" w:ascii="仿宋_GB2312" w:hAnsi="仿宋_GB2312" w:eastAsia="仿宋_GB2312" w:cs="仿宋_GB2312"/>
          <w:b w:val="0"/>
          <w:color w:val="auto"/>
          <w:sz w:val="32"/>
          <w:szCs w:val="32"/>
          <w:lang w:eastAsia="zh-CN"/>
        </w:rPr>
        <w:t>卫生健康支出</w:t>
      </w:r>
      <w:r>
        <w:rPr>
          <w:rStyle w:val="14"/>
          <w:rFonts w:hint="eastAsia" w:ascii="仿宋_GB2312" w:hAnsi="仿宋_GB2312" w:eastAsia="仿宋_GB2312" w:cs="仿宋_GB2312"/>
          <w:bCs/>
          <w:color w:val="auto"/>
          <w:sz w:val="32"/>
          <w:szCs w:val="32"/>
        </w:rPr>
        <w:t>（类）</w:t>
      </w:r>
      <w:r>
        <w:rPr>
          <w:rStyle w:val="14"/>
          <w:rFonts w:hint="eastAsia" w:ascii="仿宋_GB2312" w:hAnsi="仿宋_GB2312" w:eastAsia="仿宋_GB2312" w:cs="仿宋_GB2312"/>
          <w:b w:val="0"/>
          <w:color w:val="auto"/>
          <w:sz w:val="32"/>
          <w:szCs w:val="32"/>
        </w:rPr>
        <w:t>医疗卫生与计划生育支出行政事业单位医疗</w:t>
      </w:r>
      <w:r>
        <w:rPr>
          <w:rStyle w:val="14"/>
          <w:rFonts w:hint="eastAsia" w:ascii="仿宋_GB2312" w:hAnsi="仿宋_GB2312" w:eastAsia="仿宋_GB2312" w:cs="仿宋_GB2312"/>
          <w:bCs/>
          <w:color w:val="auto"/>
          <w:sz w:val="32"/>
          <w:szCs w:val="32"/>
        </w:rPr>
        <w:t>（款）</w:t>
      </w:r>
      <w:r>
        <w:rPr>
          <w:rStyle w:val="14"/>
          <w:rFonts w:hint="eastAsia" w:ascii="仿宋_GB2312" w:hAnsi="仿宋_GB2312" w:eastAsia="仿宋_GB2312" w:cs="仿宋_GB2312"/>
          <w:bCs/>
          <w:color w:val="auto"/>
          <w:sz w:val="32"/>
          <w:szCs w:val="32"/>
          <w:lang w:val="en-US" w:eastAsia="zh-CN"/>
        </w:rPr>
        <w:t>行政单位医疗</w:t>
      </w:r>
      <w:r>
        <w:rPr>
          <w:rStyle w:val="14"/>
          <w:rFonts w:hint="eastAsia" w:ascii="仿宋_GB2312" w:hAnsi="仿宋_GB2312" w:eastAsia="仿宋_GB2312" w:cs="仿宋_GB2312"/>
          <w:bCs/>
          <w:color w:val="auto"/>
          <w:sz w:val="32"/>
          <w:szCs w:val="32"/>
        </w:rPr>
        <w:t>（项）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是指</w:t>
      </w:r>
      <w:r>
        <w:rPr>
          <w:rFonts w:hint="eastAsia" w:ascii="仿宋_GB2312" w:hAnsi="仿宋_GB2312" w:eastAsia="仿宋_GB2312" w:cs="仿宋_GB2312"/>
          <w:color w:val="auto"/>
          <w:sz w:val="32"/>
          <w:szCs w:val="32"/>
        </w:rPr>
        <w:t>行政事业单位医疗方面的支出。反映财政部门集中安排的行政单位基本医疗保险缴费经费</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val="en-US" w:eastAsia="zh-CN"/>
        </w:rPr>
        <w:t>23.</w:t>
      </w:r>
      <w:r>
        <w:rPr>
          <w:rStyle w:val="14"/>
          <w:rFonts w:hint="eastAsia" w:ascii="仿宋_GB2312" w:hAnsi="仿宋_GB2312" w:eastAsia="仿宋_GB2312" w:cs="仿宋_GB2312"/>
          <w:b w:val="0"/>
          <w:color w:val="auto"/>
          <w:sz w:val="32"/>
          <w:szCs w:val="32"/>
          <w:lang w:eastAsia="zh-CN"/>
        </w:rPr>
        <w:t>卫生健康支出</w:t>
      </w:r>
      <w:r>
        <w:rPr>
          <w:rStyle w:val="14"/>
          <w:rFonts w:hint="eastAsia" w:ascii="仿宋_GB2312" w:hAnsi="仿宋_GB2312" w:eastAsia="仿宋_GB2312" w:cs="仿宋_GB2312"/>
          <w:bCs/>
          <w:color w:val="auto"/>
          <w:sz w:val="32"/>
          <w:szCs w:val="32"/>
        </w:rPr>
        <w:t>（</w:t>
      </w:r>
      <w:r>
        <w:rPr>
          <w:rStyle w:val="14"/>
          <w:rFonts w:hint="eastAsia" w:ascii="仿宋_GB2312" w:hAnsi="仿宋_GB2312" w:eastAsia="仿宋_GB2312" w:cs="仿宋_GB2312"/>
          <w:bCs/>
          <w:sz w:val="32"/>
          <w:szCs w:val="32"/>
        </w:rPr>
        <w:t>类）</w:t>
      </w:r>
      <w:r>
        <w:rPr>
          <w:rStyle w:val="14"/>
          <w:rFonts w:hint="eastAsia" w:ascii="仿宋_GB2312" w:hAnsi="仿宋_GB2312" w:eastAsia="仿宋_GB2312" w:cs="仿宋_GB2312"/>
          <w:b w:val="0"/>
          <w:color w:val="000000"/>
          <w:sz w:val="32"/>
          <w:szCs w:val="32"/>
        </w:rPr>
        <w:t>医疗卫生与计划生育支出行政事业单位医疗</w:t>
      </w:r>
      <w:r>
        <w:rPr>
          <w:rStyle w:val="14"/>
          <w:rFonts w:hint="eastAsia" w:ascii="仿宋_GB2312" w:hAnsi="仿宋_GB2312" w:eastAsia="仿宋_GB2312" w:cs="仿宋_GB2312"/>
          <w:bCs/>
          <w:sz w:val="32"/>
          <w:szCs w:val="32"/>
        </w:rPr>
        <w:t>（款）</w:t>
      </w:r>
      <w:r>
        <w:rPr>
          <w:rStyle w:val="14"/>
          <w:rFonts w:hint="eastAsia" w:ascii="仿宋_GB2312" w:hAnsi="仿宋_GB2312" w:eastAsia="仿宋_GB2312" w:cs="仿宋_GB2312"/>
          <w:bCs/>
          <w:sz w:val="32"/>
          <w:szCs w:val="32"/>
          <w:lang w:val="en-US" w:eastAsia="zh-CN"/>
        </w:rPr>
        <w:t>事业单位医疗</w:t>
      </w:r>
      <w:r>
        <w:rPr>
          <w:rStyle w:val="14"/>
          <w:rFonts w:hint="eastAsia" w:ascii="仿宋_GB2312" w:hAnsi="仿宋_GB2312" w:eastAsia="仿宋_GB2312" w:cs="仿宋_GB2312"/>
          <w:bCs/>
          <w:sz w:val="32"/>
          <w:szCs w:val="32"/>
        </w:rPr>
        <w:t>（项）</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反映财政部门集中安排的事业单位基本医疗保险缴费经费</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24.</w:t>
      </w:r>
      <w:r>
        <w:rPr>
          <w:rStyle w:val="14"/>
          <w:rFonts w:hint="eastAsia" w:ascii="仿宋_GB2312" w:hAnsi="仿宋_GB2312" w:eastAsia="仿宋_GB2312" w:cs="仿宋_GB2312"/>
          <w:b w:val="0"/>
          <w:sz w:val="32"/>
          <w:szCs w:val="32"/>
        </w:rPr>
        <w:t>住房保障支出</w:t>
      </w:r>
      <w:r>
        <w:rPr>
          <w:rStyle w:val="14"/>
          <w:rFonts w:hint="eastAsia" w:ascii="仿宋_GB2312" w:hAnsi="仿宋_GB2312" w:eastAsia="仿宋_GB2312" w:cs="仿宋_GB2312"/>
          <w:bCs/>
          <w:sz w:val="32"/>
          <w:szCs w:val="32"/>
        </w:rPr>
        <w:t>（类）</w:t>
      </w:r>
      <w:r>
        <w:rPr>
          <w:rStyle w:val="14"/>
          <w:rFonts w:hint="eastAsia" w:ascii="仿宋_GB2312" w:hAnsi="仿宋_GB2312" w:eastAsia="仿宋_GB2312" w:cs="仿宋_GB2312"/>
          <w:b w:val="0"/>
          <w:color w:val="000000"/>
          <w:sz w:val="32"/>
          <w:szCs w:val="32"/>
        </w:rPr>
        <w:t>住房保障支出住房改革支出</w:t>
      </w:r>
      <w:r>
        <w:rPr>
          <w:rStyle w:val="14"/>
          <w:rFonts w:hint="eastAsia" w:ascii="仿宋_GB2312" w:hAnsi="仿宋_GB2312" w:eastAsia="仿宋_GB2312" w:cs="仿宋_GB2312"/>
          <w:bCs/>
          <w:sz w:val="32"/>
          <w:szCs w:val="32"/>
        </w:rPr>
        <w:t>（款）</w:t>
      </w:r>
      <w:r>
        <w:rPr>
          <w:rStyle w:val="14"/>
          <w:rFonts w:hint="eastAsia" w:ascii="仿宋_GB2312" w:hAnsi="仿宋_GB2312" w:eastAsia="仿宋_GB2312" w:cs="仿宋_GB2312"/>
          <w:bCs/>
          <w:sz w:val="32"/>
          <w:szCs w:val="32"/>
          <w:lang w:val="en-US" w:eastAsia="zh-CN"/>
        </w:rPr>
        <w:t>住房公积金</w:t>
      </w:r>
      <w:r>
        <w:rPr>
          <w:rStyle w:val="14"/>
          <w:rFonts w:hint="eastAsia" w:ascii="仿宋_GB2312" w:hAnsi="仿宋_GB2312" w:eastAsia="仿宋_GB2312" w:cs="仿宋_GB2312"/>
          <w:bCs/>
          <w:sz w:val="32"/>
          <w:szCs w:val="32"/>
        </w:rPr>
        <w:t>（项）</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反映行政事业单位按人力资源和社会保障部、财政部规定的基本工资和津贴补贴以及规定比例为职工缴纳的住房公积金。</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.年末结转和结余：指本年度或以前年度预算安排、因客观条件发生变化无法按原计划实施，需延迟到以后年度按有关规定继续使用的资金。</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.基本支出：指为保障机构正常运转、完成日常工作任务而发生的人员支出和公用支出。</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.项目支出：指在基本支出之外为完成特定行政任务和事业发展目标所发生的支出。</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28</w:t>
      </w:r>
      <w:r>
        <w:rPr>
          <w:rFonts w:hint="eastAsia" w:ascii="仿宋_GB2312" w:hAnsi="仿宋_GB2312" w:eastAsia="仿宋_GB2312" w:cs="仿宋_GB2312"/>
          <w:color w:val="auto"/>
          <w:sz w:val="32"/>
          <w:szCs w:val="32"/>
        </w:rPr>
        <w:t>.“三公”经费：纳入市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both"/>
        <w:outlineLvl w:val="0"/>
        <w:rPr>
          <w:rFonts w:hint="eastAsia" w:ascii="黑体" w:hAns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0"/>
        <w:rPr>
          <w:rStyle w:val="37"/>
          <w:rFonts w:hint="eastAsia"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sz w:val="44"/>
          <w:szCs w:val="44"/>
        </w:rPr>
        <w:t>第</w:t>
      </w:r>
      <w:r>
        <w:rPr>
          <w:rStyle w:val="37"/>
          <w:rFonts w:hint="eastAsia" w:ascii="方正小标宋简体" w:hAnsi="方正小标宋简体" w:eastAsia="方正小标宋简体" w:cs="方正小标宋简体"/>
          <w:b w:val="0"/>
          <w:sz w:val="44"/>
          <w:szCs w:val="44"/>
        </w:rPr>
        <w:t>四部分 附件</w:t>
      </w:r>
    </w:p>
    <w:p>
      <w:pPr>
        <w:pStyle w:val="36"/>
        <w:spacing w:line="600" w:lineRule="exact"/>
        <w:jc w:val="both"/>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lang w:eastAsia="zh-CN"/>
        </w:rPr>
        <w:t>附件</w:t>
      </w:r>
    </w:p>
    <w:p>
      <w:pPr>
        <w:pStyle w:val="36"/>
        <w:spacing w:line="600" w:lineRule="exact"/>
        <w:ind w:firstLine="640" w:firstLineChars="200"/>
        <w:jc w:val="both"/>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sz w:val="32"/>
          <w:szCs w:val="32"/>
          <w:shd w:val="clear" w:color="auto" w:fill="FFFFFF"/>
        </w:rPr>
        <w:t>202</w:t>
      </w:r>
      <w:r>
        <w:rPr>
          <w:rFonts w:hint="eastAsia" w:ascii="仿宋_GB2312" w:hAnsi="仿宋_GB2312" w:eastAsia="仿宋_GB2312" w:cs="仿宋_GB2312"/>
          <w:sz w:val="32"/>
          <w:szCs w:val="32"/>
          <w:shd w:val="clear" w:color="auto" w:fill="FFFFFF"/>
          <w:lang w:val="en-US"/>
        </w:rPr>
        <w:t>1</w:t>
      </w:r>
      <w:r>
        <w:rPr>
          <w:rFonts w:hint="eastAsia" w:ascii="仿宋_GB2312" w:hAnsi="仿宋_GB2312" w:eastAsia="仿宋_GB2312" w:cs="仿宋_GB2312"/>
          <w:sz w:val="32"/>
          <w:szCs w:val="32"/>
          <w:shd w:val="clear" w:color="auto" w:fill="FFFFFF"/>
        </w:rPr>
        <w:t>年</w:t>
      </w:r>
      <w:r>
        <w:rPr>
          <w:rFonts w:hint="eastAsia" w:ascii="仿宋_GB2312" w:hAnsi="仿宋_GB2312" w:eastAsia="仿宋_GB2312" w:cs="仿宋_GB2312"/>
          <w:sz w:val="32"/>
          <w:szCs w:val="32"/>
          <w:shd w:val="clear" w:color="auto" w:fill="FFFFFF"/>
          <w:lang w:val="en-US"/>
        </w:rPr>
        <w:t>向上争取项目工作经费</w:t>
      </w:r>
      <w:r>
        <w:rPr>
          <w:rFonts w:hint="eastAsia" w:ascii="仿宋_GB2312" w:hAnsi="仿宋_GB2312" w:eastAsia="仿宋_GB2312" w:cs="仿宋_GB2312"/>
          <w:sz w:val="32"/>
          <w:szCs w:val="32"/>
          <w:shd w:val="clear" w:color="auto" w:fill="FFFFFF"/>
        </w:rPr>
        <w:t>项目支出绩效自评报告</w:t>
      </w:r>
    </w:p>
    <w:p>
      <w:pPr>
        <w:adjustRightInd w:val="0"/>
        <w:snapToGrid w:val="0"/>
        <w:spacing w:line="560"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zh-CN"/>
        </w:rPr>
        <w:t>一、项目概况</w:t>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（一）项目基本情况</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1．项目主管部门（单位）在该项目管理中的职能。</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向上争取项目资金，项目工作经费20万元，政府采购20万元。</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项目立项、资金申报的依据。</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项目立项、资金申报的依据主要是本单位职能职责及年度工作计划。</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资金管理办法制定情况，资金支持具体项目的条件、范围与支持方式概况。</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本项目主要是工作经费，按照财政资金相关管理办法和要求执行。资金支持具体项目的条件是根据部门工作计划要求安排。财政全额支持。</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t>资金分配的原则及考虑因素。</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项目资金全部由本单位使用，根据项目具体实施内容匹配资金。</w:t>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（二）项目绩效目标</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项目主要内容。</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项目主要内容为向上争取项目资金，项目工作经费20万元，政府采购20万元。</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项目应实现的具体绩效目标，包括目标的量化、细化情况以及项目实施进度计划等。</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项目申请时依据项目实际情况明确了具体的绩效目标：</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数量指标:一体化电脑15台，国产笔记本1台，一体化配套打印机3台等; 完成向上争取项目资金2499万元.</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时效指标:政府采购完成时间：2021年12月31日前，向上争取项目工作经费：2021年12月31日前。</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成本指标：政府采购完成20万元，向上争取项目资金2499万元工作经费20万元。</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社会效益指标：本级财政及政府部门完成本年向上争取项目资金额度。</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满意度指标：受助老百姓及养老机构满意度≧100%。</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项目制定了详细可行的进度计划，确保了项目顺利实施。</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分析评价申报内容是否与实际相符，申报目标是否合理可行。</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绩效自评结果表明，项目</w:t>
      </w:r>
      <w:r>
        <w:rPr>
          <w:rFonts w:hint="eastAsia" w:ascii="仿宋_GB2312" w:hAnsi="仿宋_GB2312" w:eastAsia="仿宋_GB2312" w:cs="仿宋_GB2312"/>
          <w:sz w:val="32"/>
          <w:szCs w:val="32"/>
          <w:lang w:val="zh-CN"/>
        </w:rPr>
        <w:t>申报内容与实际相符，申报目标合理可行。</w:t>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（三）项目自评步骤及方法</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我单位对此次自评工作高度重视，成立了绩效评价工作小组，按照下列程序实施：</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分解任务：根据部门支出绩效评价涉及的工作内容，分解到各科室；</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科室初评：业务科室根据计分标准对各自负责的工作逐一检查，翻阅资料，对标自评；</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小组复评：绩效评价工作小组对初评情况进行检查，并再次评价；</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整理上报：对自评情况进行梳理，及时上报财政部门，并对存在的问题落实整改。</w:t>
      </w:r>
    </w:p>
    <w:p>
      <w:pPr>
        <w:adjustRightInd w:val="0"/>
        <w:snapToGrid w:val="0"/>
        <w:spacing w:line="560"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zh-CN"/>
        </w:rPr>
        <w:t>二、项目资金申报及使用情况</w:t>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（一）项目资金申报及批复情况</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本项目资金是年初纳入部门预算申报并获得批复，无预算调整。</w:t>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（二）资金计划、到位及使用情况如下：</w:t>
      </w:r>
    </w:p>
    <w:tbl>
      <w:tblPr>
        <w:tblStyle w:val="12"/>
        <w:tblW w:w="9529" w:type="dxa"/>
        <w:tblInd w:w="0" w:type="dxa"/>
        <w:tblLayout w:type="autofit"/>
        <w:tblCellMar>
          <w:top w:w="0" w:type="dxa"/>
          <w:left w:w="0" w:type="dxa"/>
          <w:bottom w:w="0" w:type="dxa"/>
          <w:right w:w="0" w:type="dxa"/>
        </w:tblCellMar>
      </w:tblPr>
      <w:tblGrid>
        <w:gridCol w:w="3250"/>
        <w:gridCol w:w="2221"/>
        <w:gridCol w:w="2053"/>
        <w:gridCol w:w="2005"/>
      </w:tblGrid>
      <w:tr>
        <w:tblPrEx>
          <w:tblCellMar>
            <w:top w:w="0" w:type="dxa"/>
            <w:left w:w="0" w:type="dxa"/>
            <w:bottom w:w="0" w:type="dxa"/>
            <w:right w:w="0" w:type="dxa"/>
          </w:tblCellMar>
        </w:tblPrEx>
        <w:trPr>
          <w:trHeight w:val="420" w:hRule="atLeast"/>
        </w:trPr>
        <w:tc>
          <w:tcPr>
            <w:tcW w:w="325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项目名称</w:t>
            </w:r>
          </w:p>
        </w:tc>
        <w:tc>
          <w:tcPr>
            <w:tcW w:w="2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资金预算（元）</w:t>
            </w:r>
          </w:p>
        </w:tc>
        <w:tc>
          <w:tcPr>
            <w:tcW w:w="2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资金到位（元）</w:t>
            </w:r>
          </w:p>
        </w:tc>
        <w:tc>
          <w:tcPr>
            <w:tcW w:w="2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资金使用（元）</w:t>
            </w:r>
          </w:p>
        </w:tc>
      </w:tr>
      <w:tr>
        <w:tblPrEx>
          <w:tblCellMar>
            <w:top w:w="0" w:type="dxa"/>
            <w:left w:w="0" w:type="dxa"/>
            <w:bottom w:w="0" w:type="dxa"/>
            <w:right w:w="0" w:type="dxa"/>
          </w:tblCellMar>
        </w:tblPrEx>
        <w:trPr>
          <w:trHeight w:val="420" w:hRule="atLeast"/>
        </w:trPr>
        <w:tc>
          <w:tcPr>
            <w:tcW w:w="325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sz w:val="30"/>
                <w:szCs w:val="30"/>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财政资金</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财政资金</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财政资金</w:t>
            </w:r>
          </w:p>
        </w:tc>
      </w:tr>
      <w:tr>
        <w:tblPrEx>
          <w:tblCellMar>
            <w:top w:w="0" w:type="dxa"/>
            <w:left w:w="0" w:type="dxa"/>
            <w:bottom w:w="0" w:type="dxa"/>
            <w:right w:w="0" w:type="dxa"/>
          </w:tblCellMar>
        </w:tblPrEx>
        <w:trPr>
          <w:trHeight w:val="460" w:hRule="atLeast"/>
        </w:trPr>
        <w:tc>
          <w:tcPr>
            <w:tcW w:w="3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向上争取项目工作经费</w:t>
            </w:r>
          </w:p>
        </w:tc>
        <w:tc>
          <w:tcPr>
            <w:tcW w:w="2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400000</w:t>
            </w:r>
          </w:p>
        </w:tc>
        <w:tc>
          <w:tcPr>
            <w:tcW w:w="2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400000</w:t>
            </w:r>
          </w:p>
        </w:tc>
        <w:tc>
          <w:tcPr>
            <w:tcW w:w="2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359300</w:t>
            </w:r>
          </w:p>
        </w:tc>
      </w:tr>
    </w:tbl>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1．资金计划。</w:t>
      </w:r>
      <w:r>
        <w:rPr>
          <w:rFonts w:hint="eastAsia" w:ascii="仿宋_GB2312" w:hAnsi="仿宋_GB2312" w:eastAsia="仿宋_GB2312" w:cs="仿宋_GB2312"/>
          <w:sz w:val="32"/>
          <w:szCs w:val="32"/>
        </w:rPr>
        <w:t>项目资金计划400000元，均为财政资金。</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2．资金到位。资金到位率</w:t>
      </w:r>
      <w:r>
        <w:rPr>
          <w:rFonts w:hint="eastAsia" w:ascii="仿宋_GB2312" w:hAnsi="仿宋_GB2312" w:eastAsia="仿宋_GB2312" w:cs="仿宋_GB2312"/>
          <w:sz w:val="32"/>
          <w:szCs w:val="32"/>
        </w:rPr>
        <w:t>100%，</w:t>
      </w:r>
      <w:r>
        <w:rPr>
          <w:rFonts w:hint="eastAsia" w:ascii="仿宋_GB2312" w:hAnsi="仿宋_GB2312" w:eastAsia="仿宋_GB2312" w:cs="仿宋_GB2312"/>
          <w:sz w:val="32"/>
          <w:szCs w:val="32"/>
          <w:lang w:val="zh-CN"/>
        </w:rPr>
        <w:t>到位及时率</w:t>
      </w:r>
      <w:r>
        <w:rPr>
          <w:rFonts w:hint="eastAsia" w:ascii="仿宋_GB2312" w:hAnsi="仿宋_GB2312" w:eastAsia="仿宋_GB2312" w:cs="仿宋_GB2312"/>
          <w:sz w:val="32"/>
          <w:szCs w:val="32"/>
        </w:rPr>
        <w:t>100%.</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3．资金使用。资金支出</w:t>
      </w:r>
      <w:r>
        <w:rPr>
          <w:rFonts w:hint="eastAsia" w:ascii="仿宋_GB2312" w:hAnsi="仿宋_GB2312" w:eastAsia="仿宋_GB2312" w:cs="仿宋_GB2312"/>
          <w:sz w:val="32"/>
          <w:szCs w:val="32"/>
        </w:rPr>
        <w:t>359300元，</w:t>
      </w:r>
      <w:r>
        <w:rPr>
          <w:rFonts w:hint="eastAsia" w:ascii="仿宋_GB2312" w:hAnsi="仿宋_GB2312" w:eastAsia="仿宋_GB2312" w:cs="仿宋_GB2312"/>
          <w:sz w:val="32"/>
          <w:szCs w:val="32"/>
          <w:lang w:val="zh-CN"/>
        </w:rPr>
        <w:t>资金使用安全、规范、效果显著。资金支付范围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政府采购项目</w:t>
      </w:r>
      <w:r>
        <w:rPr>
          <w:rFonts w:hint="eastAsia" w:ascii="仿宋_GB2312" w:hAnsi="仿宋_GB2312" w:eastAsia="仿宋_GB2312" w:cs="仿宋_GB2312"/>
          <w:sz w:val="32"/>
          <w:szCs w:val="32"/>
        </w:rPr>
        <w:t>200000元：</w:t>
      </w:r>
      <w:r>
        <w:rPr>
          <w:rFonts w:hint="eastAsia" w:ascii="仿宋_GB2312" w:hAnsi="仿宋_GB2312" w:eastAsia="仿宋_GB2312" w:cs="仿宋_GB2312"/>
          <w:sz w:val="32"/>
          <w:szCs w:val="32"/>
          <w:lang w:val="zh-CN"/>
        </w:rPr>
        <w:t>购买一体化电脑</w:t>
      </w:r>
      <w:r>
        <w:rPr>
          <w:rFonts w:hint="eastAsia" w:ascii="仿宋_GB2312" w:hAnsi="仿宋_GB2312" w:eastAsia="仿宋_GB2312" w:cs="仿宋_GB2312"/>
          <w:sz w:val="32"/>
          <w:szCs w:val="32"/>
        </w:rPr>
        <w:t>15台，国产笔记本1台，一体配套打印机2台；项目工作经费159300元</w:t>
      </w:r>
      <w:r>
        <w:rPr>
          <w:rFonts w:hint="eastAsia" w:ascii="仿宋_GB2312" w:hAnsi="仿宋_GB2312" w:eastAsia="仿宋_GB2312" w:cs="仿宋_GB2312"/>
          <w:sz w:val="32"/>
          <w:szCs w:val="32"/>
          <w:lang w:val="zh-CN"/>
        </w:rPr>
        <w:t>。支付标准按照政府采购制度、财政资金管理限额（标准）执行。根据项目实施进度支付款项，支付依据合规合法，支出金额与预算相符。</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本单位财务管理制度健全，严格执行财务管理制度，账务处理及时，会计核算规范。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三、项目实施及管理情况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Cs/>
          <w:sz w:val="32"/>
          <w:szCs w:val="32"/>
          <w:lang w:val="zh-CN"/>
        </w:rPr>
        <w:t>（一）</w:t>
      </w:r>
      <w:r>
        <w:rPr>
          <w:rFonts w:hint="eastAsia" w:ascii="仿宋_GB2312" w:hAnsi="仿宋_GB2312" w:eastAsia="仿宋_GB2312" w:cs="仿宋_GB2312"/>
          <w:sz w:val="32"/>
          <w:szCs w:val="32"/>
          <w:lang w:val="zh-CN"/>
        </w:rPr>
        <w:t>项目组织架构及实施流程。我单位成立了项目领导小组负责项目统筹安排及管理，安排专人具体负责实施。</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Cs/>
          <w:sz w:val="32"/>
          <w:szCs w:val="32"/>
          <w:lang w:val="zh-CN"/>
        </w:rPr>
        <w:t>（二）</w:t>
      </w:r>
      <w:r>
        <w:rPr>
          <w:rFonts w:hint="eastAsia" w:ascii="仿宋_GB2312" w:hAnsi="仿宋_GB2312" w:eastAsia="仿宋_GB2312" w:cs="仿宋_GB2312"/>
          <w:sz w:val="32"/>
          <w:szCs w:val="32"/>
          <w:lang w:val="zh-CN"/>
        </w:rPr>
        <w:t>项目管理情况。我单位严格执行相关法律法规及项目管理制度，管理有序，质量较高，取得了良好的效果。</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Cs/>
          <w:sz w:val="32"/>
          <w:szCs w:val="32"/>
          <w:lang w:val="zh-CN"/>
        </w:rPr>
        <w:t>（三）</w:t>
      </w:r>
      <w:r>
        <w:rPr>
          <w:rFonts w:hint="eastAsia" w:ascii="仿宋_GB2312" w:hAnsi="仿宋_GB2312" w:eastAsia="仿宋_GB2312" w:cs="仿宋_GB2312"/>
          <w:sz w:val="32"/>
          <w:szCs w:val="32"/>
          <w:lang w:val="zh-CN"/>
        </w:rPr>
        <w:t>项目监管情况。我单位项目主要是工作经费，费用支出经过逐级审核，项目实施中纪检部门进行监管，按照单位内控控制制度实施监管，有力的促进了项目顺利实施，圆满完成，监管效果良好。</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四、项目绩效情况</w:t>
      </w:r>
      <w:r>
        <w:rPr>
          <w:rFonts w:hint="eastAsia" w:ascii="黑体" w:hAnsi="黑体" w:eastAsia="黑体" w:cs="黑体"/>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项目全部完成预期目标，已完成20万元采购目标，已完成向上争取项目资金2499万元，完成上级下达争取项目资金任务118.2%，均达到数量计划值，质量良好、按时完成、未超预算，无违规违纪情况。资金结余</w:t>
      </w:r>
      <w:r>
        <w:rPr>
          <w:rFonts w:hint="eastAsia" w:ascii="仿宋_GB2312" w:hAnsi="仿宋_GB2312" w:eastAsia="仿宋_GB2312" w:cs="仿宋_GB2312"/>
          <w:sz w:val="32"/>
          <w:szCs w:val="32"/>
        </w:rPr>
        <w:t>40700元</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因疫情，出差压缩，节约工作经费</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项目取得了良好的社会效益、可持续效益。向上争取项目资金额度已完成上级下达争取项目资金任务118.2%。</w:t>
      </w:r>
      <w:r>
        <w:rPr>
          <w:rFonts w:hint="eastAsia" w:ascii="仿宋_GB2312" w:hAnsi="仿宋_GB2312" w:eastAsia="仿宋_GB2312" w:cs="仿宋_GB2312"/>
          <w:sz w:val="32"/>
          <w:szCs w:val="32"/>
        </w:rPr>
        <w:t xml:space="preserve"> 受助老百姓及养老机构≧100%。 </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五、评价结论及建议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项目管理良好，实施有序，绩效显著。均达到了预期目标</w:t>
      </w:r>
      <w:r>
        <w:rPr>
          <w:rFonts w:hint="eastAsia" w:ascii="仿宋_GB2312" w:hAnsi="仿宋_GB2312" w:eastAsia="仿宋_GB2312" w:cs="仿宋_GB2312"/>
          <w:sz w:val="32"/>
          <w:szCs w:val="32"/>
          <w:lang w:val="zh-CN"/>
        </w:rPr>
        <w:t>。评价得分</w:t>
      </w:r>
      <w:r>
        <w:rPr>
          <w:rFonts w:hint="eastAsia" w:ascii="仿宋_GB2312" w:hAnsi="仿宋_GB2312" w:eastAsia="仿宋_GB2312" w:cs="仿宋_GB2312"/>
          <w:sz w:val="32"/>
          <w:szCs w:val="32"/>
        </w:rPr>
        <w:t>100分。</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无。</w:t>
      </w:r>
      <w:r>
        <w:rPr>
          <w:rFonts w:hint="eastAsia" w:ascii="仿宋_GB2312" w:hAnsi="仿宋_GB2312" w:eastAsia="仿宋_GB2312" w:cs="仿宋_GB2312"/>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（三）相关建议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一是加强业务培训，进一步提高工作人员财政资金绩效意识；二是进一步细化项目预算，严格控制各项费用，过紧日子；三是今后对于财政资金项目，加大评价结果应用，真正做到“用钱必问效，无效必问责”。</w:t>
      </w:r>
    </w:p>
    <w:tbl>
      <w:tblPr>
        <w:tblStyle w:val="12"/>
        <w:tblW w:w="10115" w:type="dxa"/>
        <w:jc w:val="center"/>
        <w:tblLayout w:type="autofit"/>
        <w:tblCellMar>
          <w:top w:w="0" w:type="dxa"/>
          <w:left w:w="108" w:type="dxa"/>
          <w:bottom w:w="0" w:type="dxa"/>
          <w:right w:w="108" w:type="dxa"/>
        </w:tblCellMar>
      </w:tblPr>
      <w:tblGrid>
        <w:gridCol w:w="794"/>
        <w:gridCol w:w="975"/>
        <w:gridCol w:w="1258"/>
        <w:gridCol w:w="1860"/>
        <w:gridCol w:w="1740"/>
        <w:gridCol w:w="2415"/>
        <w:gridCol w:w="1073"/>
      </w:tblGrid>
      <w:tr>
        <w:tblPrEx>
          <w:tblCellMar>
            <w:top w:w="0" w:type="dxa"/>
            <w:left w:w="108" w:type="dxa"/>
            <w:bottom w:w="0" w:type="dxa"/>
            <w:right w:w="108" w:type="dxa"/>
          </w:tblCellMar>
        </w:tblPrEx>
        <w:trPr>
          <w:trHeight w:val="585" w:hRule="atLeast"/>
          <w:jc w:val="center"/>
        </w:trPr>
        <w:tc>
          <w:tcPr>
            <w:tcW w:w="10115" w:type="dxa"/>
            <w:gridSpan w:val="7"/>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color w:val="000000"/>
                <w:sz w:val="28"/>
                <w:szCs w:val="28"/>
              </w:rPr>
            </w:pPr>
            <w:r>
              <w:rPr>
                <w:rFonts w:hint="eastAsia" w:ascii="宋体" w:hAnsi="宋体" w:eastAsia="宋体" w:cs="宋体"/>
                <w:b/>
                <w:bCs/>
                <w:color w:val="000000"/>
                <w:kern w:val="0"/>
                <w:sz w:val="28"/>
                <w:szCs w:val="28"/>
                <w:lang w:val="en-US" w:eastAsia="zh-CN" w:bidi="ar"/>
              </w:rPr>
              <w:t>2021年部门预算项目绩效目标</w:t>
            </w:r>
            <w:r>
              <w:rPr>
                <w:rFonts w:hint="eastAsia" w:ascii="宋体" w:hAnsi="宋体" w:eastAsia="宋体" w:cs="宋体"/>
                <w:b/>
                <w:bCs/>
                <w:color w:val="000000"/>
                <w:kern w:val="0"/>
                <w:sz w:val="28"/>
                <w:szCs w:val="28"/>
                <w:lang w:bidi="ar"/>
              </w:rPr>
              <w:t>自评表</w:t>
            </w:r>
          </w:p>
        </w:tc>
      </w:tr>
      <w:tr>
        <w:tblPrEx>
          <w:tblCellMar>
            <w:top w:w="0" w:type="dxa"/>
            <w:left w:w="108" w:type="dxa"/>
            <w:bottom w:w="0" w:type="dxa"/>
            <w:right w:w="108" w:type="dxa"/>
          </w:tblCellMar>
        </w:tblPrEx>
        <w:trPr>
          <w:trHeight w:val="285" w:hRule="atLeast"/>
          <w:jc w:val="center"/>
        </w:trPr>
        <w:tc>
          <w:tcPr>
            <w:tcW w:w="3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项目名称</w:t>
            </w:r>
          </w:p>
        </w:tc>
        <w:tc>
          <w:tcPr>
            <w:tcW w:w="70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向上争取项目工作经费</w:t>
            </w:r>
          </w:p>
        </w:tc>
      </w:tr>
      <w:tr>
        <w:tblPrEx>
          <w:tblCellMar>
            <w:top w:w="0" w:type="dxa"/>
            <w:left w:w="108" w:type="dxa"/>
            <w:bottom w:w="0" w:type="dxa"/>
            <w:right w:w="108" w:type="dxa"/>
          </w:tblCellMar>
        </w:tblPrEx>
        <w:trPr>
          <w:trHeight w:val="758" w:hRule="atLeast"/>
          <w:jc w:val="center"/>
        </w:trPr>
        <w:tc>
          <w:tcPr>
            <w:tcW w:w="30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主管单位</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广元市民政局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实施单位</w:t>
            </w:r>
          </w:p>
        </w:tc>
        <w:tc>
          <w:tcPr>
            <w:tcW w:w="3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广元市民政局</w:t>
            </w:r>
          </w:p>
        </w:tc>
      </w:tr>
      <w:tr>
        <w:tblPrEx>
          <w:tblCellMar>
            <w:top w:w="0" w:type="dxa"/>
            <w:left w:w="108" w:type="dxa"/>
            <w:bottom w:w="0" w:type="dxa"/>
            <w:right w:w="108" w:type="dxa"/>
          </w:tblCellMar>
        </w:tblPrEx>
        <w:trPr>
          <w:trHeight w:val="285" w:hRule="atLeast"/>
          <w:jc w:val="center"/>
        </w:trPr>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31"/>
                <w:rFonts w:hint="eastAsia" w:ascii="仿宋_GB2312" w:hAnsi="仿宋_GB2312" w:eastAsia="仿宋_GB2312" w:cs="仿宋_GB2312"/>
                <w:lang w:eastAsia="zh-CN" w:bidi="ar"/>
              </w:rPr>
            </w:pPr>
            <w:r>
              <w:rPr>
                <w:rStyle w:val="31"/>
                <w:rFonts w:hint="default" w:ascii="仿宋_GB2312" w:hAnsi="仿宋_GB2312" w:eastAsia="仿宋_GB2312" w:cs="仿宋_GB2312"/>
                <w:lang w:bidi="ar"/>
              </w:rPr>
              <w:t>预算</w:t>
            </w:r>
          </w:p>
          <w:p>
            <w:pPr>
              <w:widowControl/>
              <w:jc w:val="center"/>
              <w:textAlignment w:val="center"/>
              <w:rPr>
                <w:rStyle w:val="31"/>
                <w:rFonts w:hint="eastAsia" w:ascii="仿宋_GB2312" w:hAnsi="仿宋_GB2312" w:eastAsia="仿宋_GB2312" w:cs="仿宋_GB2312"/>
                <w:lang w:eastAsia="zh-CN" w:bidi="ar"/>
              </w:rPr>
            </w:pPr>
            <w:r>
              <w:rPr>
                <w:rStyle w:val="31"/>
                <w:rFonts w:hint="default" w:ascii="仿宋_GB2312" w:hAnsi="仿宋_GB2312" w:eastAsia="仿宋_GB2312" w:cs="仿宋_GB2312"/>
                <w:lang w:bidi="ar"/>
              </w:rPr>
              <w:t>执行</w:t>
            </w:r>
          </w:p>
          <w:p>
            <w:pPr>
              <w:widowControl/>
              <w:jc w:val="center"/>
              <w:textAlignment w:val="center"/>
              <w:rPr>
                <w:rStyle w:val="31"/>
                <w:rFonts w:hint="eastAsia" w:ascii="仿宋_GB2312" w:hAnsi="仿宋_GB2312" w:eastAsia="仿宋_GB2312" w:cs="仿宋_GB2312"/>
                <w:lang w:eastAsia="zh-CN" w:bidi="ar"/>
              </w:rPr>
            </w:pPr>
            <w:r>
              <w:rPr>
                <w:rStyle w:val="31"/>
                <w:rFonts w:hint="default" w:ascii="仿宋_GB2312" w:hAnsi="仿宋_GB2312" w:eastAsia="仿宋_GB2312" w:cs="仿宋_GB2312"/>
                <w:lang w:bidi="ar"/>
              </w:rPr>
              <w:t>情况</w:t>
            </w:r>
          </w:p>
          <w:p>
            <w:pPr>
              <w:widowControl/>
              <w:jc w:val="center"/>
              <w:textAlignment w:val="center"/>
              <w:rPr>
                <w:rFonts w:ascii="仿宋_GB2312" w:hAnsi="仿宋_GB2312" w:eastAsia="仿宋_GB2312" w:cs="仿宋_GB2312"/>
                <w:color w:val="000000"/>
                <w:sz w:val="24"/>
              </w:rPr>
            </w:pPr>
            <w:r>
              <w:rPr>
                <w:rStyle w:val="33"/>
                <w:rFonts w:hint="default" w:ascii="仿宋_GB2312" w:hAnsi="仿宋_GB2312" w:eastAsia="仿宋_GB2312" w:cs="仿宋_GB2312"/>
                <w:sz w:val="24"/>
                <w:szCs w:val="24"/>
                <w:lang w:bidi="ar"/>
              </w:rPr>
              <w:t>（万元）</w:t>
            </w:r>
          </w:p>
        </w:tc>
        <w:tc>
          <w:tcPr>
            <w:tcW w:w="2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预算数：</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执行数：</w:t>
            </w:r>
          </w:p>
        </w:tc>
        <w:tc>
          <w:tcPr>
            <w:tcW w:w="3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35.93</w:t>
            </w:r>
          </w:p>
        </w:tc>
      </w:tr>
      <w:tr>
        <w:tblPrEx>
          <w:tblCellMar>
            <w:top w:w="0" w:type="dxa"/>
            <w:left w:w="108" w:type="dxa"/>
            <w:bottom w:w="0" w:type="dxa"/>
            <w:right w:w="108" w:type="dxa"/>
          </w:tblCellMar>
        </w:tblPrEx>
        <w:trPr>
          <w:trHeight w:val="540" w:hRule="atLeast"/>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2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40</w:t>
            </w:r>
          </w:p>
        </w:tc>
        <w:tc>
          <w:tcPr>
            <w:tcW w:w="1740" w:type="dxa"/>
            <w:tcBorders>
              <w:top w:val="single" w:color="000000" w:sz="4" w:space="0"/>
              <w:left w:val="nil"/>
              <w:bottom w:val="nil"/>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3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35.93</w:t>
            </w:r>
          </w:p>
        </w:tc>
      </w:tr>
      <w:tr>
        <w:tblPrEx>
          <w:tblCellMar>
            <w:top w:w="0" w:type="dxa"/>
            <w:left w:w="108" w:type="dxa"/>
            <w:bottom w:w="0" w:type="dxa"/>
            <w:right w:w="108" w:type="dxa"/>
          </w:tblCellMar>
        </w:tblPrEx>
        <w:trPr>
          <w:trHeight w:val="285" w:hRule="atLeast"/>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2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其他资金</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740" w:type="dxa"/>
            <w:tcBorders>
              <w:top w:val="single" w:color="000000" w:sz="4" w:space="0"/>
              <w:left w:val="nil"/>
              <w:bottom w:val="nil"/>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其他资金</w:t>
            </w:r>
          </w:p>
        </w:tc>
        <w:tc>
          <w:tcPr>
            <w:tcW w:w="3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285" w:hRule="atLeast"/>
          <w:jc w:val="center"/>
        </w:trPr>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年度</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目标</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完成</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情况</w:t>
            </w:r>
          </w:p>
        </w:tc>
        <w:tc>
          <w:tcPr>
            <w:tcW w:w="40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预期目标</w:t>
            </w:r>
          </w:p>
        </w:tc>
        <w:tc>
          <w:tcPr>
            <w:tcW w:w="52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实际完成目标</w:t>
            </w:r>
          </w:p>
        </w:tc>
      </w:tr>
      <w:tr>
        <w:tblPrEx>
          <w:tblCellMar>
            <w:top w:w="0" w:type="dxa"/>
            <w:left w:w="108" w:type="dxa"/>
            <w:bottom w:w="0" w:type="dxa"/>
            <w:right w:w="108" w:type="dxa"/>
          </w:tblCellMar>
        </w:tblPrEx>
        <w:trPr>
          <w:trHeight w:val="285" w:hRule="atLeast"/>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4093"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向上争取项目资金40万元，项目工作经费20万元，政府采购20万元。缓解本级财政压力，为发展广元做出了较大的努力，并取得了骄人的成绩。</w:t>
            </w:r>
          </w:p>
        </w:tc>
        <w:tc>
          <w:tcPr>
            <w:tcW w:w="5228"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实际向上争取社会保障民生资金2499万元，超过考核目标454.8万元，占18.2%。</w:t>
            </w:r>
          </w:p>
        </w:tc>
      </w:tr>
      <w:tr>
        <w:tblPrEx>
          <w:tblCellMar>
            <w:top w:w="0" w:type="dxa"/>
            <w:left w:w="108" w:type="dxa"/>
            <w:bottom w:w="0" w:type="dxa"/>
            <w:right w:w="108" w:type="dxa"/>
          </w:tblCellMar>
        </w:tblPrEx>
        <w:trPr>
          <w:trHeight w:val="855" w:hRule="atLeast"/>
          <w:jc w:val="center"/>
        </w:trPr>
        <w:tc>
          <w:tcPr>
            <w:tcW w:w="794"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年度</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绩效</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指标</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完成</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情况</w:t>
            </w:r>
          </w:p>
        </w:tc>
        <w:tc>
          <w:tcPr>
            <w:tcW w:w="975"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一级指标</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二级指标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三级指标</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指标值（包含数字及文字描述）</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实际完成指标值（包含数字及文字描述）</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未完成原因及改进措施</w:t>
            </w:r>
          </w:p>
        </w:tc>
      </w:tr>
      <w:tr>
        <w:tblPrEx>
          <w:tblCellMar>
            <w:top w:w="0" w:type="dxa"/>
            <w:left w:w="108" w:type="dxa"/>
            <w:bottom w:w="0" w:type="dxa"/>
            <w:right w:w="108" w:type="dxa"/>
          </w:tblCellMar>
        </w:tblPrEx>
        <w:trPr>
          <w:trHeight w:val="720" w:hRule="atLeast"/>
          <w:jc w:val="center"/>
        </w:trPr>
        <w:tc>
          <w:tcPr>
            <w:tcW w:w="79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258"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数量指标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一体化打印机、台式电脑等</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一体化电脑15台，国产笔记本1台，一体化配套打印机3台等</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480" w:hRule="atLeast"/>
          <w:jc w:val="center"/>
        </w:trPr>
        <w:tc>
          <w:tcPr>
            <w:tcW w:w="79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25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向上争取项目工作经费</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完成向上争取项目资金2499万元</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285" w:hRule="atLeast"/>
          <w:jc w:val="center"/>
        </w:trPr>
        <w:tc>
          <w:tcPr>
            <w:tcW w:w="79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258"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时效指标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政府采购完成时间</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2021年12月31日前</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285" w:hRule="atLeast"/>
          <w:jc w:val="center"/>
        </w:trPr>
        <w:tc>
          <w:tcPr>
            <w:tcW w:w="79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25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向上争取项目工作经费</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2021年12月31日前</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570" w:hRule="atLeast"/>
          <w:jc w:val="center"/>
        </w:trPr>
        <w:tc>
          <w:tcPr>
            <w:tcW w:w="79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258"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成本指标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政府采购完成时间</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20万元</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已完成20万元采购目标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480" w:hRule="atLeast"/>
          <w:jc w:val="center"/>
        </w:trPr>
        <w:tc>
          <w:tcPr>
            <w:tcW w:w="79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25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向上争取项目工作经费</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20万元</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已完成向上争取项目资金2499万元</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因疾情，出差压缩，故没使用完成工作经费</w:t>
            </w:r>
          </w:p>
        </w:tc>
      </w:tr>
      <w:tr>
        <w:tblPrEx>
          <w:tblCellMar>
            <w:top w:w="0" w:type="dxa"/>
            <w:left w:w="108" w:type="dxa"/>
            <w:bottom w:w="0" w:type="dxa"/>
            <w:right w:w="108" w:type="dxa"/>
          </w:tblCellMar>
        </w:tblPrEx>
        <w:trPr>
          <w:trHeight w:val="720" w:hRule="atLeast"/>
          <w:jc w:val="center"/>
        </w:trPr>
        <w:tc>
          <w:tcPr>
            <w:tcW w:w="79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258"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社会效益</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本级财政及政府部门</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完成本年向上争取项目资金额度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已完成上级下达争取项目资金任务118.2%</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570" w:hRule="atLeast"/>
          <w:jc w:val="center"/>
        </w:trPr>
        <w:tc>
          <w:tcPr>
            <w:tcW w:w="79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975"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满意度</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w:t>
            </w:r>
          </w:p>
        </w:tc>
        <w:tc>
          <w:tcPr>
            <w:tcW w:w="1258"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满意度指标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受助老百姓及养老机构</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bl>
    <w:p>
      <w:pPr>
        <w:keepNext w:val="0"/>
        <w:keepLines w:val="0"/>
        <w:pageBreakBefore w:val="0"/>
        <w:widowControl w:val="0"/>
        <w:kinsoku/>
        <w:wordWrap/>
        <w:overflowPunct/>
        <w:topLinePunct w:val="0"/>
        <w:autoSpaceDE/>
        <w:autoSpaceDN/>
        <w:bidi w:val="0"/>
        <w:adjustRightInd w:val="0"/>
        <w:snapToGrid w:val="0"/>
        <w:spacing w:line="576" w:lineRule="exact"/>
        <w:ind w:firstLine="1280" w:firstLineChars="400"/>
        <w:jc w:val="both"/>
        <w:textAlignment w:val="auto"/>
        <w:rPr>
          <w:rFonts w:hint="eastAsia" w:ascii="黑体" w:hAnsi="黑体" w:eastAsia="黑体" w:cs="黑体"/>
          <w:sz w:val="32"/>
          <w:szCs w:val="32"/>
          <w:shd w:val="clear" w:color="auto" w:fill="FFFFFF"/>
        </w:rPr>
      </w:pPr>
    </w:p>
    <w:p>
      <w:pPr>
        <w:keepNext w:val="0"/>
        <w:keepLines w:val="0"/>
        <w:pageBreakBefore w:val="0"/>
        <w:widowControl w:val="0"/>
        <w:kinsoku/>
        <w:wordWrap/>
        <w:overflowPunct/>
        <w:topLinePunct w:val="0"/>
        <w:autoSpaceDE/>
        <w:autoSpaceDN/>
        <w:bidi w:val="0"/>
        <w:adjustRightInd w:val="0"/>
        <w:snapToGrid w:val="0"/>
        <w:spacing w:line="576" w:lineRule="exact"/>
        <w:ind w:firstLine="1280" w:firstLineChars="400"/>
        <w:jc w:val="both"/>
        <w:textAlignment w:val="auto"/>
        <w:rPr>
          <w:rFonts w:hint="eastAsia" w:ascii="黑体" w:hAnsi="黑体" w:eastAsia="黑体" w:cs="黑体"/>
          <w:sz w:val="32"/>
          <w:szCs w:val="32"/>
          <w:shd w:val="clear" w:color="auto" w:fill="FFFFFF"/>
          <w:lang w:val="en-US"/>
        </w:rPr>
      </w:pPr>
      <w:r>
        <w:rPr>
          <w:rFonts w:hint="eastAsia" w:ascii="黑体" w:hAnsi="黑体" w:eastAsia="黑体" w:cs="黑体"/>
          <w:sz w:val="32"/>
          <w:szCs w:val="32"/>
          <w:shd w:val="clear" w:color="auto" w:fill="FFFFFF"/>
        </w:rPr>
        <w:t>202</w:t>
      </w:r>
      <w:r>
        <w:rPr>
          <w:rFonts w:hint="eastAsia" w:ascii="黑体" w:hAnsi="黑体" w:eastAsia="黑体" w:cs="黑体"/>
          <w:sz w:val="32"/>
          <w:szCs w:val="32"/>
          <w:shd w:val="clear" w:color="auto" w:fill="FFFFFF"/>
          <w:lang w:val="en-US"/>
        </w:rPr>
        <w:t>1</w:t>
      </w:r>
      <w:r>
        <w:rPr>
          <w:rFonts w:hint="eastAsia" w:ascii="黑体" w:hAnsi="黑体" w:eastAsia="黑体" w:cs="黑体"/>
          <w:sz w:val="32"/>
          <w:szCs w:val="32"/>
          <w:shd w:val="clear" w:color="auto" w:fill="FFFFFF"/>
        </w:rPr>
        <w:t>年</w:t>
      </w:r>
      <w:r>
        <w:rPr>
          <w:rFonts w:hint="eastAsia" w:ascii="黑体" w:hAnsi="黑体" w:eastAsia="黑体" w:cs="黑体"/>
          <w:sz w:val="32"/>
          <w:szCs w:val="32"/>
          <w:shd w:val="clear" w:color="auto" w:fill="FFFFFF"/>
          <w:lang w:val="en-US"/>
        </w:rPr>
        <w:t>帮扶部门工作经费和第一书记生活</w:t>
      </w:r>
    </w:p>
    <w:p>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eastAsia" w:ascii="黑体" w:hAnsi="黑体" w:eastAsia="黑体" w:cs="黑体"/>
          <w:sz w:val="32"/>
          <w:szCs w:val="32"/>
          <w:lang w:val="zh-CN"/>
        </w:rPr>
      </w:pPr>
      <w:r>
        <w:rPr>
          <w:rFonts w:hint="eastAsia" w:ascii="黑体" w:hAnsi="黑体" w:eastAsia="黑体" w:cs="黑体"/>
          <w:sz w:val="32"/>
          <w:szCs w:val="32"/>
          <w:shd w:val="clear" w:color="auto" w:fill="FFFFFF"/>
          <w:lang w:val="en-US"/>
        </w:rPr>
        <w:t>补贴</w:t>
      </w:r>
      <w:r>
        <w:rPr>
          <w:rFonts w:hint="eastAsia" w:ascii="黑体" w:hAnsi="黑体" w:eastAsia="黑体" w:cs="黑体"/>
          <w:sz w:val="32"/>
          <w:szCs w:val="32"/>
          <w:shd w:val="clear" w:color="auto" w:fill="FFFFFF"/>
        </w:rPr>
        <w:t>支出项目绩效自评报告</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一、项目概况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1．项目主管部门（单位）在该项目管理中的职能。</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帮扶部门工作经费和第一书记生活补贴。</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项目立项、资金申报的依据。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项目立项、资金申报的依据主要是本单位职能职责及年度工作计划。</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资金管理办法制定情况，资金支持具体项目的条件、范围与支持方式概况。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本项目主要是工作经费，按照财政资金相关管理办法和要求执行。资金支持具体项目的条件是根据部门工作计划要求安排。财政全额支持。</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t>资金分配的原则及考虑因素。</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项目资金全部由本单位使用，根据项目具体实施内容匹配资金。</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1．项目主要内容。</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项目主要内容为帮扶部门工作经费和第一书记生活补贴。</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2．项目应实现的具体绩效目标，包括目标的量化、细化情况以及项目实施进度计划等。</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项目申请时依据项目实际情况明确了具体的绩效目标：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数量指标:拨付0.75万元用于2021年度帮扶部门工作经费和第一书记生活补贴。</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质量指标：高质量完成帮扶工作。</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时效指标:2021年1-12月。</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成本指标：控制在0.75万元以内。</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社会效益指标：本级财政及政府部门完成本年向上争取项目资金额度，帮扶村各项工作和村容村貌明显提升。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满意度指标：经满意度测评，群众满意。</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项目制定了详细可行的进度计划，确保了项目顺利实施。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分析评价申报内容是否与实际相符，申报目标是否合理可行。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绩效自评结果表明，项目</w:t>
      </w:r>
      <w:r>
        <w:rPr>
          <w:rFonts w:hint="eastAsia" w:ascii="仿宋_GB2312" w:hAnsi="仿宋_GB2312" w:eastAsia="仿宋_GB2312" w:cs="仿宋_GB2312"/>
          <w:sz w:val="32"/>
          <w:szCs w:val="32"/>
          <w:lang w:val="zh-CN"/>
        </w:rPr>
        <w:t>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（三）项目自评步骤及方法</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我单位对此次自评工作高度重视，成立了绩效评价工作小组，按照下列程序实施：</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分解任务：根据部门支出绩效评价涉及的工作内容，分解到各科室；</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科室初评：业务科室根据计分标准对各自负责的工作逐一检查，翻阅资料，对标自评；</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小组复评：绩效评价工作小组对初评情况进行检查，并再次评价；</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整理上报：对自评情况进行梳理，及时上报财政部门，并对存在的问题落实整改。</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本项目资金是年初纳入部门预算申报并获得批复，无预算调整。</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（二）资金计划、到位及使用情况如下：</w:t>
      </w:r>
    </w:p>
    <w:tbl>
      <w:tblPr>
        <w:tblStyle w:val="12"/>
        <w:tblW w:w="9529" w:type="dxa"/>
        <w:jc w:val="center"/>
        <w:tblLayout w:type="autofit"/>
        <w:tblCellMar>
          <w:top w:w="0" w:type="dxa"/>
          <w:left w:w="0" w:type="dxa"/>
          <w:bottom w:w="0" w:type="dxa"/>
          <w:right w:w="0" w:type="dxa"/>
        </w:tblCellMar>
      </w:tblPr>
      <w:tblGrid>
        <w:gridCol w:w="3250"/>
        <w:gridCol w:w="2221"/>
        <w:gridCol w:w="2053"/>
        <w:gridCol w:w="2005"/>
      </w:tblGrid>
      <w:tr>
        <w:tblPrEx>
          <w:tblCellMar>
            <w:top w:w="0" w:type="dxa"/>
            <w:left w:w="0" w:type="dxa"/>
            <w:bottom w:w="0" w:type="dxa"/>
            <w:right w:w="0" w:type="dxa"/>
          </w:tblCellMar>
        </w:tblPrEx>
        <w:trPr>
          <w:trHeight w:val="420" w:hRule="atLeast"/>
          <w:jc w:val="center"/>
        </w:trPr>
        <w:tc>
          <w:tcPr>
            <w:tcW w:w="325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项目名称</w:t>
            </w:r>
          </w:p>
        </w:tc>
        <w:tc>
          <w:tcPr>
            <w:tcW w:w="2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资金预算（元）</w:t>
            </w:r>
          </w:p>
        </w:tc>
        <w:tc>
          <w:tcPr>
            <w:tcW w:w="2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资金到位（元）</w:t>
            </w:r>
          </w:p>
        </w:tc>
        <w:tc>
          <w:tcPr>
            <w:tcW w:w="2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资金使用（元）</w:t>
            </w:r>
          </w:p>
        </w:tc>
      </w:tr>
      <w:tr>
        <w:tblPrEx>
          <w:tblCellMar>
            <w:top w:w="0" w:type="dxa"/>
            <w:left w:w="0" w:type="dxa"/>
            <w:bottom w:w="0" w:type="dxa"/>
            <w:right w:w="0" w:type="dxa"/>
          </w:tblCellMar>
        </w:tblPrEx>
        <w:trPr>
          <w:trHeight w:val="420" w:hRule="atLeast"/>
          <w:jc w:val="center"/>
        </w:trPr>
        <w:tc>
          <w:tcPr>
            <w:tcW w:w="325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sz w:val="30"/>
                <w:szCs w:val="30"/>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财政资金</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财政资金</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财政资金</w:t>
            </w:r>
          </w:p>
        </w:tc>
      </w:tr>
      <w:tr>
        <w:tblPrEx>
          <w:tblCellMar>
            <w:top w:w="0" w:type="dxa"/>
            <w:left w:w="0" w:type="dxa"/>
            <w:bottom w:w="0" w:type="dxa"/>
            <w:right w:w="0" w:type="dxa"/>
          </w:tblCellMar>
        </w:tblPrEx>
        <w:trPr>
          <w:trHeight w:val="1270" w:hRule="atLeast"/>
          <w:jc w:val="center"/>
        </w:trPr>
        <w:tc>
          <w:tcPr>
            <w:tcW w:w="3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帮扶部门工作经费和第一书记生活补贴</w:t>
            </w:r>
          </w:p>
        </w:tc>
        <w:tc>
          <w:tcPr>
            <w:tcW w:w="2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7500</w:t>
            </w:r>
          </w:p>
        </w:tc>
        <w:tc>
          <w:tcPr>
            <w:tcW w:w="2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7500</w:t>
            </w:r>
          </w:p>
        </w:tc>
        <w:tc>
          <w:tcPr>
            <w:tcW w:w="2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7500</w:t>
            </w:r>
          </w:p>
        </w:tc>
      </w:tr>
    </w:tbl>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资金计划。</w:t>
      </w:r>
      <w:r>
        <w:rPr>
          <w:rFonts w:hint="eastAsia" w:ascii="仿宋_GB2312" w:hAnsi="仿宋_GB2312" w:eastAsia="仿宋_GB2312" w:cs="仿宋_GB2312"/>
          <w:sz w:val="32"/>
          <w:szCs w:val="32"/>
        </w:rPr>
        <w:t>项目资金计划7500元，均为财政资金。</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资金到位。资金到位率</w:t>
      </w:r>
      <w:r>
        <w:rPr>
          <w:rFonts w:hint="eastAsia" w:ascii="仿宋_GB2312" w:hAnsi="仿宋_GB2312" w:eastAsia="仿宋_GB2312" w:cs="仿宋_GB2312"/>
          <w:sz w:val="32"/>
          <w:szCs w:val="32"/>
        </w:rPr>
        <w:t>100%，</w:t>
      </w:r>
      <w:r>
        <w:rPr>
          <w:rFonts w:hint="eastAsia" w:ascii="仿宋_GB2312" w:hAnsi="仿宋_GB2312" w:eastAsia="仿宋_GB2312" w:cs="仿宋_GB2312"/>
          <w:sz w:val="32"/>
          <w:szCs w:val="32"/>
          <w:lang w:val="zh-CN"/>
        </w:rPr>
        <w:t>到位及时率</w:t>
      </w:r>
      <w:r>
        <w:rPr>
          <w:rFonts w:hint="eastAsia" w:ascii="仿宋_GB2312" w:hAnsi="仿宋_GB2312" w:eastAsia="仿宋_GB2312" w:cs="仿宋_GB2312"/>
          <w:sz w:val="32"/>
          <w:szCs w:val="32"/>
        </w:rPr>
        <w:t>100%.</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资金使用。资金支出</w:t>
      </w:r>
      <w:r>
        <w:rPr>
          <w:rFonts w:hint="eastAsia" w:ascii="仿宋_GB2312" w:hAnsi="仿宋_GB2312" w:eastAsia="仿宋_GB2312" w:cs="仿宋_GB2312"/>
          <w:sz w:val="32"/>
          <w:szCs w:val="32"/>
        </w:rPr>
        <w:t>7500元，</w:t>
      </w:r>
      <w:r>
        <w:rPr>
          <w:rFonts w:hint="eastAsia" w:ascii="仿宋_GB2312" w:hAnsi="仿宋_GB2312" w:eastAsia="仿宋_GB2312" w:cs="仿宋_GB2312"/>
          <w:sz w:val="32"/>
          <w:szCs w:val="32"/>
          <w:lang w:val="zh-CN"/>
        </w:rPr>
        <w:t>资金使用安全、规范、效果显著。资金支付范围</w:t>
      </w:r>
      <w:r>
        <w:rPr>
          <w:rFonts w:hint="eastAsia" w:ascii="仿宋_GB2312" w:hAnsi="仿宋_GB2312" w:eastAsia="仿宋_GB2312" w:cs="仿宋_GB2312"/>
          <w:sz w:val="32"/>
          <w:szCs w:val="32"/>
        </w:rPr>
        <w:t>全用于项目办公、差旅、补贴等</w:t>
      </w:r>
      <w:r>
        <w:rPr>
          <w:rFonts w:hint="eastAsia" w:ascii="仿宋_GB2312" w:hAnsi="仿宋_GB2312" w:eastAsia="仿宋_GB2312" w:cs="仿宋_GB2312"/>
          <w:sz w:val="32"/>
          <w:szCs w:val="32"/>
          <w:lang w:val="zh-CN"/>
        </w:rPr>
        <w:t>。支付标准均按照财政资金管理限额（标准）执行。根据项目实施进度支付款项，支付依据合规合法，支出金额与预算相符。</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本单位财务管理制度健全，严格执行财务管理制度，账务处理及时，会计核算规范。</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三、项目实施及管理情况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sz w:val="32"/>
          <w:szCs w:val="32"/>
          <w:lang w:val="zh-CN"/>
        </w:rPr>
      </w:pPr>
      <w:r>
        <w:rPr>
          <w:rFonts w:hint="eastAsia" w:ascii="楷体_GB2312" w:hAnsi="楷体_GB2312" w:eastAsia="楷体_GB2312" w:cs="楷体_GB2312"/>
          <w:b w:val="0"/>
          <w:bCs/>
          <w:sz w:val="32"/>
          <w:szCs w:val="32"/>
          <w:lang w:val="zh-CN"/>
        </w:rPr>
        <w:t>（一）项目组织架构及实施流程。</w:t>
      </w:r>
      <w:r>
        <w:rPr>
          <w:rFonts w:hint="eastAsia" w:ascii="仿宋_GB2312" w:hAnsi="仿宋_GB2312" w:eastAsia="仿宋_GB2312" w:cs="仿宋_GB2312"/>
          <w:sz w:val="32"/>
          <w:szCs w:val="32"/>
          <w:lang w:val="zh-CN"/>
        </w:rPr>
        <w:t>我单位成立了项目领导小组负责项目统筹安排及管理，安排专人具体负责实施。</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楷体_GB2312" w:hAnsi="楷体_GB2312" w:eastAsia="楷体_GB2312" w:cs="楷体_GB2312"/>
          <w:b w:val="0"/>
          <w:bCs/>
          <w:sz w:val="32"/>
          <w:szCs w:val="32"/>
          <w:lang w:val="zh-CN"/>
        </w:rPr>
        <w:t>（二）项目管理情况。</w:t>
      </w:r>
      <w:r>
        <w:rPr>
          <w:rFonts w:hint="eastAsia" w:ascii="仿宋_GB2312" w:hAnsi="仿宋_GB2312" w:eastAsia="仿宋_GB2312" w:cs="仿宋_GB2312"/>
          <w:sz w:val="32"/>
          <w:szCs w:val="32"/>
          <w:lang w:val="zh-CN"/>
        </w:rPr>
        <w:t>我单位严格执行相关法律法规及项目管理制度，管理有序，质量较高，取得了良好的效果。</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楷体_GB2312" w:hAnsi="楷体_GB2312" w:eastAsia="楷体_GB2312" w:cs="楷体_GB2312"/>
          <w:b w:val="0"/>
          <w:bCs/>
          <w:sz w:val="32"/>
          <w:szCs w:val="32"/>
          <w:lang w:val="zh-CN"/>
        </w:rPr>
        <w:t>（三）项目监管情况。</w:t>
      </w:r>
      <w:r>
        <w:rPr>
          <w:rFonts w:hint="eastAsia" w:ascii="仿宋_GB2312" w:hAnsi="仿宋_GB2312" w:eastAsia="仿宋_GB2312" w:cs="仿宋_GB2312"/>
          <w:sz w:val="32"/>
          <w:szCs w:val="32"/>
          <w:lang w:val="zh-CN"/>
        </w:rPr>
        <w:t>我单位项目主要是工作经费，费用支出经过逐级审核，项目实施中纪检部门进行监管，按照单位内控控制制度实施监管，有力的促进了项目顺利实施，圆满完成，监管效果良好。</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四、项目绩效情况</w:t>
      </w:r>
      <w:r>
        <w:rPr>
          <w:rFonts w:hint="eastAsia" w:ascii="黑体" w:hAnsi="黑体" w:eastAsia="黑体" w:cs="黑体"/>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（一）项目完成情况</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项目全部完成预期目标，均达到数量计划值，质量良好、按时完成、未超预算，无资金结余，无违规违纪情况。</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（二）项目效益情况</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项目取得了良好的社会效益、可持续效益。让帮扶村得到有效帮扶，扶村各项工作和村容村貌明显提升</w:t>
      </w:r>
      <w:r>
        <w:rPr>
          <w:rFonts w:hint="eastAsia" w:ascii="仿宋_GB2312" w:hAnsi="仿宋_GB2312" w:eastAsia="仿宋_GB2312" w:cs="仿宋_GB2312"/>
          <w:sz w:val="32"/>
          <w:szCs w:val="32"/>
        </w:rPr>
        <w:t>。 经满意度测评，群众满意。</w:t>
      </w:r>
    </w:p>
    <w:p>
      <w:pPr>
        <w:adjustRightInd w:val="0"/>
        <w:snapToGrid w:val="0"/>
        <w:spacing w:line="560" w:lineRule="exact"/>
        <w:ind w:firstLine="720"/>
        <w:rPr>
          <w:rFonts w:hint="eastAsia" w:ascii="黑体" w:hAnsi="黑体" w:eastAsia="黑体" w:cs="黑体"/>
          <w:sz w:val="32"/>
          <w:szCs w:val="32"/>
          <w:lang w:val="zh-CN"/>
        </w:rPr>
      </w:pPr>
      <w:r>
        <w:rPr>
          <w:rFonts w:hint="eastAsia" w:ascii="黑体" w:hAnsi="黑体" w:eastAsia="黑体" w:cs="黑体"/>
          <w:sz w:val="32"/>
          <w:szCs w:val="32"/>
          <w:lang w:val="zh-CN"/>
        </w:rPr>
        <w:t>五、评价结论及建议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（一）评价结论</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项目管理良好，实施有序，绩效显著。均达到了预期目标</w:t>
      </w:r>
      <w:r>
        <w:rPr>
          <w:rFonts w:hint="eastAsia" w:ascii="仿宋_GB2312" w:hAnsi="仿宋_GB2312" w:eastAsia="仿宋_GB2312" w:cs="仿宋_GB2312"/>
          <w:sz w:val="32"/>
          <w:szCs w:val="32"/>
          <w:lang w:val="zh-CN"/>
        </w:rPr>
        <w:t>。评价得分</w:t>
      </w:r>
      <w:r>
        <w:rPr>
          <w:rFonts w:hint="eastAsia" w:ascii="仿宋_GB2312" w:hAnsi="仿宋_GB2312" w:eastAsia="仿宋_GB2312" w:cs="仿宋_GB2312"/>
          <w:sz w:val="32"/>
          <w:szCs w:val="32"/>
        </w:rPr>
        <w:t>100分。</w:t>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（二）存在的问题</w:t>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仿宋_GB2312" w:hAnsi="仿宋_GB2312" w:eastAsia="仿宋_GB2312" w:cs="仿宋_GB2312"/>
          <w:b w:val="0"/>
          <w:bCs/>
          <w:sz w:val="32"/>
          <w:szCs w:val="32"/>
          <w:lang w:val="zh-CN"/>
        </w:rPr>
        <w:t>无。</w:t>
      </w:r>
      <w:r>
        <w:rPr>
          <w:rFonts w:hint="eastAsia" w:ascii="楷体_GB2312" w:hAnsi="楷体_GB2312" w:eastAsia="楷体_GB2312" w:cs="楷体_GB2312"/>
          <w:b w:val="0"/>
          <w:bCs/>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（三）相关建议</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一是加强业务培训，进一步提高工作人员财政资金绩效意识；二是进一步细化项目预算，严格控制各项费用，过紧日子；三是今后对于财政资金项目，加大评价结果应用，真正做到“用钱必问效，无效必问责”。</w:t>
      </w:r>
    </w:p>
    <w:tbl>
      <w:tblPr>
        <w:tblStyle w:val="12"/>
        <w:tblW w:w="5000" w:type="pct"/>
        <w:tblInd w:w="0" w:type="dxa"/>
        <w:tblLayout w:type="autofit"/>
        <w:tblCellMar>
          <w:top w:w="0" w:type="dxa"/>
          <w:left w:w="108" w:type="dxa"/>
          <w:bottom w:w="0" w:type="dxa"/>
          <w:right w:w="108" w:type="dxa"/>
        </w:tblCellMar>
      </w:tblPr>
      <w:tblGrid>
        <w:gridCol w:w="1291"/>
        <w:gridCol w:w="698"/>
        <w:gridCol w:w="926"/>
        <w:gridCol w:w="1209"/>
        <w:gridCol w:w="1986"/>
        <w:gridCol w:w="1421"/>
        <w:gridCol w:w="1529"/>
      </w:tblGrid>
      <w:tr>
        <w:tblPrEx>
          <w:tblCellMar>
            <w:top w:w="0" w:type="dxa"/>
            <w:left w:w="108" w:type="dxa"/>
            <w:bottom w:w="0" w:type="dxa"/>
            <w:right w:w="108" w:type="dxa"/>
          </w:tblCellMar>
        </w:tblPrEx>
        <w:trPr>
          <w:trHeight w:val="516" w:hRule="atLeast"/>
        </w:trPr>
        <w:tc>
          <w:tcPr>
            <w:tcW w:w="5000" w:type="pct"/>
            <w:gridSpan w:val="7"/>
            <w:tcBorders>
              <w:top w:val="nil"/>
              <w:left w:val="nil"/>
              <w:bottom w:val="nil"/>
              <w:right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宋体" w:hAnsi="宋体" w:eastAsia="宋体" w:cs="宋体"/>
                <w:b/>
                <w:bCs/>
                <w:color w:val="000000"/>
                <w:kern w:val="0"/>
                <w:sz w:val="28"/>
                <w:szCs w:val="28"/>
                <w:lang w:val="en-US" w:eastAsia="zh-CN" w:bidi="ar"/>
              </w:rPr>
              <w:t>2021年部门预算项目绩效目标</w:t>
            </w:r>
            <w:r>
              <w:rPr>
                <w:rFonts w:hint="eastAsia" w:ascii="宋体" w:hAnsi="宋体" w:eastAsia="宋体" w:cs="宋体"/>
                <w:b/>
                <w:bCs/>
                <w:color w:val="000000"/>
                <w:kern w:val="0"/>
                <w:sz w:val="28"/>
                <w:szCs w:val="28"/>
                <w:lang w:bidi="ar"/>
              </w:rPr>
              <w:t>自评表</w:t>
            </w:r>
          </w:p>
        </w:tc>
      </w:tr>
      <w:tr>
        <w:tblPrEx>
          <w:tblCellMar>
            <w:top w:w="0" w:type="dxa"/>
            <w:left w:w="108" w:type="dxa"/>
            <w:bottom w:w="0" w:type="dxa"/>
            <w:right w:w="108" w:type="dxa"/>
          </w:tblCellMar>
        </w:tblPrEx>
        <w:trPr>
          <w:trHeight w:val="285" w:hRule="atLeast"/>
        </w:trPr>
        <w:tc>
          <w:tcPr>
            <w:tcW w:w="16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项目名称</w:t>
            </w:r>
          </w:p>
        </w:tc>
        <w:tc>
          <w:tcPr>
            <w:tcW w:w="33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帮扶部门工作经费和第一书记生活补贴</w:t>
            </w:r>
          </w:p>
        </w:tc>
      </w:tr>
      <w:tr>
        <w:tblPrEx>
          <w:tblCellMar>
            <w:top w:w="0" w:type="dxa"/>
            <w:left w:w="108" w:type="dxa"/>
            <w:bottom w:w="0" w:type="dxa"/>
            <w:right w:w="108" w:type="dxa"/>
          </w:tblCellMar>
        </w:tblPrEx>
        <w:trPr>
          <w:trHeight w:val="285" w:hRule="atLeast"/>
        </w:trPr>
        <w:tc>
          <w:tcPr>
            <w:tcW w:w="16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主管单位</w:t>
            </w:r>
          </w:p>
        </w:tc>
        <w:tc>
          <w:tcPr>
            <w:tcW w:w="667" w:type="pct"/>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市民政局</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实施单位</w:t>
            </w:r>
          </w:p>
        </w:tc>
        <w:tc>
          <w:tcPr>
            <w:tcW w:w="1626" w:type="pct"/>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市儿童福利院、市救助管理站</w:t>
            </w:r>
          </w:p>
        </w:tc>
      </w:tr>
      <w:tr>
        <w:tblPrEx>
          <w:tblCellMar>
            <w:top w:w="0" w:type="dxa"/>
            <w:left w:w="108" w:type="dxa"/>
            <w:bottom w:w="0" w:type="dxa"/>
            <w:right w:w="108" w:type="dxa"/>
          </w:tblCellMar>
        </w:tblPrEx>
        <w:trPr>
          <w:trHeight w:val="285" w:hRule="atLeast"/>
        </w:trPr>
        <w:tc>
          <w:tcPr>
            <w:tcW w:w="7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34"/>
                <w:rFonts w:hint="eastAsia" w:ascii="仿宋_GB2312" w:hAnsi="仿宋_GB2312" w:eastAsia="仿宋_GB2312" w:cs="仿宋_GB2312"/>
                <w:lang w:eastAsia="zh-CN" w:bidi="ar"/>
              </w:rPr>
            </w:pPr>
            <w:r>
              <w:rPr>
                <w:rStyle w:val="34"/>
                <w:rFonts w:hint="default" w:ascii="仿宋_GB2312" w:hAnsi="仿宋_GB2312" w:eastAsia="仿宋_GB2312" w:cs="仿宋_GB2312"/>
                <w:lang w:bidi="ar"/>
              </w:rPr>
              <w:t>预算</w:t>
            </w:r>
          </w:p>
          <w:p>
            <w:pPr>
              <w:widowControl/>
              <w:jc w:val="center"/>
              <w:textAlignment w:val="center"/>
              <w:rPr>
                <w:rStyle w:val="34"/>
                <w:rFonts w:hint="eastAsia" w:ascii="仿宋_GB2312" w:hAnsi="仿宋_GB2312" w:eastAsia="仿宋_GB2312" w:cs="仿宋_GB2312"/>
                <w:lang w:eastAsia="zh-CN" w:bidi="ar"/>
              </w:rPr>
            </w:pPr>
            <w:r>
              <w:rPr>
                <w:rStyle w:val="34"/>
                <w:rFonts w:hint="default" w:ascii="仿宋_GB2312" w:hAnsi="仿宋_GB2312" w:eastAsia="仿宋_GB2312" w:cs="仿宋_GB2312"/>
                <w:lang w:bidi="ar"/>
              </w:rPr>
              <w:t>执行</w:t>
            </w:r>
          </w:p>
          <w:p>
            <w:pPr>
              <w:widowControl/>
              <w:jc w:val="center"/>
              <w:textAlignment w:val="center"/>
              <w:rPr>
                <w:rStyle w:val="34"/>
                <w:rFonts w:hint="eastAsia" w:ascii="仿宋_GB2312" w:hAnsi="仿宋_GB2312" w:eastAsia="仿宋_GB2312" w:cs="仿宋_GB2312"/>
                <w:lang w:eastAsia="zh-CN" w:bidi="ar"/>
              </w:rPr>
            </w:pPr>
            <w:r>
              <w:rPr>
                <w:rStyle w:val="34"/>
                <w:rFonts w:hint="default" w:ascii="仿宋_GB2312" w:hAnsi="仿宋_GB2312" w:eastAsia="仿宋_GB2312" w:cs="仿宋_GB2312"/>
                <w:lang w:bidi="ar"/>
              </w:rPr>
              <w:t>情况</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（万元）</w:t>
            </w:r>
          </w:p>
        </w:tc>
        <w:tc>
          <w:tcPr>
            <w:tcW w:w="8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预算数：</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0.75</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执行数：</w:t>
            </w:r>
          </w:p>
        </w:tc>
        <w:tc>
          <w:tcPr>
            <w:tcW w:w="16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0.75</w:t>
            </w:r>
          </w:p>
        </w:tc>
      </w:tr>
      <w:tr>
        <w:tblPrEx>
          <w:tblCellMar>
            <w:top w:w="0" w:type="dxa"/>
            <w:left w:w="108" w:type="dxa"/>
            <w:bottom w:w="0" w:type="dxa"/>
            <w:right w:w="108" w:type="dxa"/>
          </w:tblCellMar>
        </w:tblPrEx>
        <w:trPr>
          <w:trHeight w:val="28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8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0.75</w:t>
            </w:r>
          </w:p>
        </w:tc>
        <w:tc>
          <w:tcPr>
            <w:tcW w:w="1096" w:type="pct"/>
            <w:tcBorders>
              <w:top w:val="single" w:color="000000" w:sz="4" w:space="0"/>
              <w:left w:val="nil"/>
              <w:bottom w:val="nil"/>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16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0.75</w:t>
            </w:r>
          </w:p>
        </w:tc>
      </w:tr>
      <w:tr>
        <w:tblPrEx>
          <w:tblCellMar>
            <w:top w:w="0" w:type="dxa"/>
            <w:left w:w="108" w:type="dxa"/>
            <w:bottom w:w="0" w:type="dxa"/>
            <w:right w:w="108" w:type="dxa"/>
          </w:tblCellMar>
        </w:tblPrEx>
        <w:trPr>
          <w:trHeight w:val="28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8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其他资金</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96" w:type="pct"/>
            <w:tcBorders>
              <w:top w:val="single" w:color="000000" w:sz="4" w:space="0"/>
              <w:left w:val="nil"/>
              <w:bottom w:val="nil"/>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其他资金</w:t>
            </w:r>
          </w:p>
        </w:tc>
        <w:tc>
          <w:tcPr>
            <w:tcW w:w="16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7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年度目标</w:t>
            </w:r>
          </w:p>
          <w:p>
            <w:pPr>
              <w:widowControl/>
              <w:jc w:val="both"/>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完成情况</w:t>
            </w:r>
          </w:p>
        </w:tc>
        <w:tc>
          <w:tcPr>
            <w:tcW w:w="15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预期目标</w:t>
            </w:r>
          </w:p>
        </w:tc>
        <w:tc>
          <w:tcPr>
            <w:tcW w:w="27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实际完成目标</w:t>
            </w:r>
          </w:p>
        </w:tc>
      </w:tr>
      <w:tr>
        <w:tblPrEx>
          <w:tblCellMar>
            <w:top w:w="0" w:type="dxa"/>
            <w:left w:w="108" w:type="dxa"/>
            <w:bottom w:w="0" w:type="dxa"/>
            <w:right w:w="108" w:type="dxa"/>
          </w:tblCellMar>
        </w:tblPrEx>
        <w:trPr>
          <w:trHeight w:val="286"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563" w:type="pct"/>
            <w:gridSpan w:val="3"/>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100%</w:t>
            </w:r>
          </w:p>
        </w:tc>
        <w:tc>
          <w:tcPr>
            <w:tcW w:w="2722" w:type="pct"/>
            <w:gridSpan w:val="3"/>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100%</w:t>
            </w:r>
          </w:p>
        </w:tc>
      </w:tr>
      <w:tr>
        <w:tblPrEx>
          <w:tblCellMar>
            <w:top w:w="0" w:type="dxa"/>
            <w:left w:w="108" w:type="dxa"/>
            <w:bottom w:w="0" w:type="dxa"/>
            <w:right w:w="108" w:type="dxa"/>
          </w:tblCellMar>
        </w:tblPrEx>
        <w:trPr>
          <w:trHeight w:val="855" w:hRule="atLeast"/>
        </w:trPr>
        <w:tc>
          <w:tcPr>
            <w:tcW w:w="7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年度</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绩效</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指标</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完成</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情况</w:t>
            </w:r>
          </w:p>
        </w:tc>
        <w:tc>
          <w:tcPr>
            <w:tcW w:w="385"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一级指标</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二级指标</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三级指标</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指标值（包含数字及文字描述）</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实际完成指标值（包含数字及文字描述）</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未完成原因及改进措施</w:t>
            </w:r>
          </w:p>
        </w:tc>
      </w:tr>
      <w:tr>
        <w:tblPrEx>
          <w:tblCellMar>
            <w:top w:w="0" w:type="dxa"/>
            <w:left w:w="108" w:type="dxa"/>
            <w:bottom w:w="0" w:type="dxa"/>
            <w:right w:w="108" w:type="dxa"/>
          </w:tblCellMar>
        </w:tblPrEx>
        <w:trPr>
          <w:trHeight w:val="570"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数量指标</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指标1：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拨付 0.75万元用于2021年度帮扶部门工作经费和第一书记生活补贴</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0.75万元全部下拨</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5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质量指标</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指标1：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帮扶部门工作经费和第一书记生活补贴</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高质量完成帮扶工作</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指标2：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5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时效指标</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指标1：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2021年1-12月</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2021年12月</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指标2：</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成本指标</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指标1：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控制在0.75万元以内</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0.75万元</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855"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社会效益</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指标1：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让帮扶村得到有效帮扶</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帮扶村各项工作和村容村貌明显提升</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7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满意度</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满意度指标</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指标1：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群众满意</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经满意度测评，群众满意</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bl>
    <w:p>
      <w:pPr>
        <w:adjustRightInd w:val="0"/>
        <w:snapToGrid w:val="0"/>
        <w:spacing w:line="560" w:lineRule="exact"/>
        <w:jc w:val="both"/>
        <w:rPr>
          <w:rFonts w:hint="eastAsia" w:ascii="黑体" w:hAnsi="黑体" w:eastAsia="黑体" w:cs="黑体"/>
          <w:sz w:val="32"/>
          <w:szCs w:val="32"/>
          <w:shd w:val="clear" w:color="auto" w:fill="FFFFFF"/>
        </w:rPr>
      </w:pPr>
    </w:p>
    <w:p>
      <w:pPr>
        <w:adjustRightInd w:val="0"/>
        <w:snapToGrid w:val="0"/>
        <w:spacing w:line="560" w:lineRule="exact"/>
        <w:jc w:val="center"/>
        <w:rPr>
          <w:rFonts w:hint="eastAsia" w:ascii="黑体" w:hAnsi="黑体" w:eastAsia="黑体" w:cs="黑体"/>
          <w:color w:val="auto"/>
          <w:kern w:val="2"/>
          <w:sz w:val="32"/>
          <w:szCs w:val="32"/>
        </w:rPr>
      </w:pPr>
      <w:r>
        <w:rPr>
          <w:rFonts w:hint="eastAsia" w:ascii="黑体" w:hAnsi="黑体" w:eastAsia="黑体" w:cs="黑体"/>
          <w:sz w:val="32"/>
          <w:szCs w:val="32"/>
          <w:shd w:val="clear" w:color="auto" w:fill="FFFFFF"/>
        </w:rPr>
        <w:t>202</w:t>
      </w:r>
      <w:r>
        <w:rPr>
          <w:rFonts w:hint="eastAsia" w:ascii="黑体" w:hAnsi="黑体" w:eastAsia="黑体" w:cs="黑体"/>
          <w:sz w:val="32"/>
          <w:szCs w:val="32"/>
          <w:shd w:val="clear" w:color="auto" w:fill="FFFFFF"/>
          <w:lang w:val="en-US"/>
        </w:rPr>
        <w:t>1</w:t>
      </w:r>
      <w:r>
        <w:rPr>
          <w:rFonts w:hint="eastAsia" w:ascii="黑体" w:hAnsi="黑体" w:eastAsia="黑体" w:cs="黑体"/>
          <w:sz w:val="32"/>
          <w:szCs w:val="32"/>
          <w:shd w:val="clear" w:color="auto" w:fill="FFFFFF"/>
        </w:rPr>
        <w:t>年</w:t>
      </w:r>
      <w:r>
        <w:rPr>
          <w:rFonts w:hint="eastAsia" w:ascii="黑体" w:hAnsi="黑体" w:eastAsia="黑体" w:cs="黑体"/>
          <w:sz w:val="32"/>
          <w:szCs w:val="32"/>
          <w:shd w:val="clear" w:color="auto" w:fill="FFFFFF"/>
          <w:lang w:val="en-US"/>
        </w:rPr>
        <w:t>派驻纪检监察组工作经费</w:t>
      </w:r>
      <w:r>
        <w:rPr>
          <w:rFonts w:hint="eastAsia" w:ascii="黑体" w:hAnsi="黑体" w:eastAsia="黑体" w:cs="黑体"/>
          <w:sz w:val="32"/>
          <w:szCs w:val="32"/>
          <w:shd w:val="clear" w:color="auto" w:fill="FFFFFF"/>
        </w:rPr>
        <w:t>项目绩效自评报告</w:t>
      </w:r>
    </w:p>
    <w:p>
      <w:pPr>
        <w:adjustRightInd w:val="0"/>
        <w:snapToGrid w:val="0"/>
        <w:spacing w:line="560" w:lineRule="exact"/>
        <w:rPr>
          <w:rFonts w:hint="eastAsia" w:ascii="仿宋_GB2312" w:hAnsi="仿宋_GB2312" w:eastAsia="仿宋_GB2312" w:cs="仿宋_GB2312"/>
          <w:sz w:val="32"/>
          <w:szCs w:val="32"/>
          <w:lang w:val="zh-CN"/>
        </w:rPr>
      </w:pPr>
    </w:p>
    <w:p>
      <w:pPr>
        <w:adjustRightInd w:val="0"/>
        <w:snapToGrid w:val="0"/>
        <w:spacing w:line="560"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zh-CN"/>
        </w:rPr>
        <w:t>一、项目概况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（一）项目基本情况</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项目主管部门（单位）在该项目管理中的职能。</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对市民政局、市退役军人事务局、市残疾人联合会3家单位开展纪检监察派驻监督，保障上级决策部署在以上单位有效贯彻落实，监督督促各单位履职尽责，服务群众。违纪违法的单位和个人开展审查调查和处置。由市纪委监委驻市民政局纪检监察组具体实施。</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项目立项、资金申报的依据。</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项目立项、资金申报的依据主要是本单位职能职责及年度工作计划。</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资金管理办法制定情况，资金支持具体项目的条件、范围与支持方式概况。</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本项目主要是工作经费，按照财政资金相关管理办法和要求执行。资金支持具体项目的条件是根据部门工作计划要求安排。财政全额支持。</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t>资金分配的原则及考虑因素。</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项目资金全部由本单位使用，根据项目具体实施内容匹配资金。</w:t>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（二）项目绩效目标</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项目主要内容。</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主要内容为对市民政局、市退役军人事务局、市残疾人联合会3家单位开展纪检监察派驻监督，保障上级决策部署在以上单位有效贯彻落实，监督督促各单位履职尽责，服务群众。违纪违法的单位和个人开展审查调查和处置。</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项目应实现的具体绩效目标，包括目标的量化、细化情况以及项目实施进度计划等。</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项目申请时依据项目实际情况明确了具体的绩效目标：</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数量指标:全年开展全覆盖监督检查不少于1次。开展审查调查工作。</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时效指标:2021年12月底。</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成本指标： 18万元。</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社会效益指标：党风廉政建设。</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满意度指标：人民群众满意。</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项目制定了详细可行的进度计划，确保了项目顺利实施。</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分析评价申报内容是否与实际相符，申报目标是否合理可行。</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绩效自评结果表明，项目</w:t>
      </w:r>
      <w:r>
        <w:rPr>
          <w:rFonts w:hint="eastAsia" w:ascii="仿宋_GB2312" w:hAnsi="仿宋_GB2312" w:eastAsia="仿宋_GB2312" w:cs="仿宋_GB2312"/>
          <w:sz w:val="32"/>
          <w:szCs w:val="32"/>
          <w:lang w:val="zh-CN"/>
        </w:rPr>
        <w:t>申报内容与实际相符，申报目标合理可行。</w:t>
      </w:r>
    </w:p>
    <w:p>
      <w:pPr>
        <w:numPr>
          <w:ilvl w:val="0"/>
          <w:numId w:val="0"/>
        </w:num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（三）项目自评步骤及方法</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我单位对此次自评工作高度重视，成立了绩效评价工作小组，按照下列程序实施：</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分解任务：根据部门支出绩效评价涉及的工作内容，分解到各科室；</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科室初评：业务科室根据计分标准对各自负责的工作逐一检查，翻阅资料，对标自评；</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小组复评：绩效评价工作小组对初评情况进行检查，并再次评价；</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整理上报：对自评情况进行梳理，及时上报财政部门，并对存在的问题落实整改。</w:t>
      </w:r>
    </w:p>
    <w:p>
      <w:pPr>
        <w:adjustRightInd w:val="0"/>
        <w:snapToGrid w:val="0"/>
        <w:spacing w:line="560"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zh-CN"/>
        </w:rPr>
        <w:t>二、项目资金申报及使用情况</w:t>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（一）项目资金申报及批复情况</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本项目资金是年初纳入部门预算申报并获得批复，无预算调整。</w:t>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（二）资金计划、到位及使用情况如下：</w:t>
      </w:r>
    </w:p>
    <w:tbl>
      <w:tblPr>
        <w:tblStyle w:val="12"/>
        <w:tblW w:w="9529" w:type="dxa"/>
        <w:tblInd w:w="0" w:type="dxa"/>
        <w:tblLayout w:type="autofit"/>
        <w:tblCellMar>
          <w:top w:w="0" w:type="dxa"/>
          <w:left w:w="0" w:type="dxa"/>
          <w:bottom w:w="0" w:type="dxa"/>
          <w:right w:w="0" w:type="dxa"/>
        </w:tblCellMar>
      </w:tblPr>
      <w:tblGrid>
        <w:gridCol w:w="3250"/>
        <w:gridCol w:w="2221"/>
        <w:gridCol w:w="2053"/>
        <w:gridCol w:w="2005"/>
      </w:tblGrid>
      <w:tr>
        <w:tblPrEx>
          <w:tblCellMar>
            <w:top w:w="0" w:type="dxa"/>
            <w:left w:w="0" w:type="dxa"/>
            <w:bottom w:w="0" w:type="dxa"/>
            <w:right w:w="0" w:type="dxa"/>
          </w:tblCellMar>
        </w:tblPrEx>
        <w:trPr>
          <w:trHeight w:val="420" w:hRule="atLeast"/>
        </w:trPr>
        <w:tc>
          <w:tcPr>
            <w:tcW w:w="325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项目名称</w:t>
            </w:r>
          </w:p>
        </w:tc>
        <w:tc>
          <w:tcPr>
            <w:tcW w:w="2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资金预算（元）</w:t>
            </w:r>
          </w:p>
        </w:tc>
        <w:tc>
          <w:tcPr>
            <w:tcW w:w="2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资金到位（元）</w:t>
            </w:r>
          </w:p>
        </w:tc>
        <w:tc>
          <w:tcPr>
            <w:tcW w:w="2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资金使用（元）</w:t>
            </w:r>
          </w:p>
        </w:tc>
      </w:tr>
      <w:tr>
        <w:tblPrEx>
          <w:tblCellMar>
            <w:top w:w="0" w:type="dxa"/>
            <w:left w:w="0" w:type="dxa"/>
            <w:bottom w:w="0" w:type="dxa"/>
            <w:right w:w="0" w:type="dxa"/>
          </w:tblCellMar>
        </w:tblPrEx>
        <w:trPr>
          <w:trHeight w:val="420" w:hRule="atLeast"/>
        </w:trPr>
        <w:tc>
          <w:tcPr>
            <w:tcW w:w="325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sz w:val="30"/>
                <w:szCs w:val="30"/>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财政资金</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财政资金</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财政资金</w:t>
            </w:r>
          </w:p>
        </w:tc>
      </w:tr>
      <w:tr>
        <w:tblPrEx>
          <w:tblCellMar>
            <w:top w:w="0" w:type="dxa"/>
            <w:left w:w="0" w:type="dxa"/>
            <w:bottom w:w="0" w:type="dxa"/>
            <w:right w:w="0" w:type="dxa"/>
          </w:tblCellMar>
        </w:tblPrEx>
        <w:trPr>
          <w:trHeight w:val="460" w:hRule="atLeast"/>
        </w:trPr>
        <w:tc>
          <w:tcPr>
            <w:tcW w:w="3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派驻纪检监察组工作经费</w:t>
            </w:r>
          </w:p>
        </w:tc>
        <w:tc>
          <w:tcPr>
            <w:tcW w:w="2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180000</w:t>
            </w:r>
          </w:p>
        </w:tc>
        <w:tc>
          <w:tcPr>
            <w:tcW w:w="2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180000</w:t>
            </w:r>
          </w:p>
        </w:tc>
        <w:tc>
          <w:tcPr>
            <w:tcW w:w="2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180000</w:t>
            </w:r>
          </w:p>
        </w:tc>
      </w:tr>
    </w:tbl>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资金计划。</w:t>
      </w:r>
      <w:r>
        <w:rPr>
          <w:rFonts w:hint="eastAsia" w:ascii="仿宋_GB2312" w:hAnsi="仿宋_GB2312" w:eastAsia="仿宋_GB2312" w:cs="仿宋_GB2312"/>
          <w:sz w:val="32"/>
          <w:szCs w:val="32"/>
        </w:rPr>
        <w:t>项目资金计划180000元，均为财政资金。</w:t>
      </w:r>
    </w:p>
    <w:p>
      <w:pPr>
        <w:adjustRightInd w:val="0"/>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资金到位。资金到位率</w:t>
      </w:r>
      <w:r>
        <w:rPr>
          <w:rFonts w:hint="eastAsia" w:ascii="仿宋_GB2312" w:hAnsi="仿宋_GB2312" w:eastAsia="仿宋_GB2312" w:cs="仿宋_GB2312"/>
          <w:sz w:val="32"/>
          <w:szCs w:val="32"/>
        </w:rPr>
        <w:t>100%，</w:t>
      </w:r>
      <w:r>
        <w:rPr>
          <w:rFonts w:hint="eastAsia" w:ascii="仿宋_GB2312" w:hAnsi="仿宋_GB2312" w:eastAsia="仿宋_GB2312" w:cs="仿宋_GB2312"/>
          <w:sz w:val="32"/>
          <w:szCs w:val="32"/>
          <w:lang w:val="zh-CN"/>
        </w:rPr>
        <w:t>到位及时率</w:t>
      </w:r>
      <w:r>
        <w:rPr>
          <w:rFonts w:hint="eastAsia" w:ascii="仿宋_GB2312" w:hAnsi="仿宋_GB2312" w:eastAsia="仿宋_GB2312" w:cs="仿宋_GB2312"/>
          <w:sz w:val="32"/>
          <w:szCs w:val="32"/>
        </w:rPr>
        <w:t>100%</w:t>
      </w:r>
      <w:r>
        <w:rPr>
          <w:rFonts w:hint="eastAsia" w:ascii="仿宋_GB2312" w:hAnsi="仿宋_GB2312" w:eastAsia="仿宋_GB2312" w:cs="仿宋_GB2312"/>
          <w:sz w:val="32"/>
          <w:szCs w:val="32"/>
          <w:lang w:eastAsia="zh-CN"/>
        </w:rPr>
        <w:t>。</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资金使用。资金支出</w:t>
      </w:r>
      <w:r>
        <w:rPr>
          <w:rFonts w:hint="eastAsia" w:ascii="仿宋_GB2312" w:hAnsi="仿宋_GB2312" w:eastAsia="仿宋_GB2312" w:cs="仿宋_GB2312"/>
          <w:sz w:val="32"/>
          <w:szCs w:val="32"/>
        </w:rPr>
        <w:t>180000元，</w:t>
      </w:r>
      <w:r>
        <w:rPr>
          <w:rFonts w:hint="eastAsia" w:ascii="仿宋_GB2312" w:hAnsi="仿宋_GB2312" w:eastAsia="仿宋_GB2312" w:cs="仿宋_GB2312"/>
          <w:sz w:val="32"/>
          <w:szCs w:val="32"/>
          <w:lang w:val="zh-CN"/>
        </w:rPr>
        <w:t>资金使用安全、规范、效果显著。资金支付范围</w:t>
      </w:r>
      <w:r>
        <w:rPr>
          <w:rFonts w:hint="eastAsia" w:ascii="仿宋_GB2312" w:hAnsi="仿宋_GB2312" w:eastAsia="仿宋_GB2312" w:cs="仿宋_GB2312"/>
          <w:sz w:val="32"/>
          <w:szCs w:val="32"/>
        </w:rPr>
        <w:t>全用于项目办公、差旅、补助、印刷费用等</w:t>
      </w:r>
      <w:r>
        <w:rPr>
          <w:rFonts w:hint="eastAsia" w:ascii="仿宋_GB2312" w:hAnsi="仿宋_GB2312" w:eastAsia="仿宋_GB2312" w:cs="仿宋_GB2312"/>
          <w:sz w:val="32"/>
          <w:szCs w:val="32"/>
          <w:lang w:val="zh-CN"/>
        </w:rPr>
        <w:t>。支付标准均按照财政资金管理限额（标准）执行。根据项目实施进度支付款项，支付依据合规合法，支出金额与预算相符。</w:t>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（三）项目财务管理情况</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本单位财务管理制度健全，严格执行财务管理制度，账务处理及时，会计核算规范。</w:t>
      </w:r>
    </w:p>
    <w:p>
      <w:pPr>
        <w:adjustRightInd w:val="0"/>
        <w:snapToGrid w:val="0"/>
        <w:spacing w:line="560" w:lineRule="exact"/>
        <w:ind w:firstLine="720"/>
        <w:rPr>
          <w:rFonts w:hint="eastAsia" w:ascii="黑体" w:hAnsi="黑体" w:eastAsia="黑体" w:cs="黑体"/>
          <w:sz w:val="32"/>
          <w:szCs w:val="32"/>
          <w:lang w:val="zh-CN"/>
        </w:rPr>
      </w:pPr>
      <w:r>
        <w:rPr>
          <w:rFonts w:hint="eastAsia" w:ascii="黑体" w:hAnsi="黑体" w:eastAsia="黑体" w:cs="黑体"/>
          <w:sz w:val="32"/>
          <w:szCs w:val="32"/>
          <w:lang w:val="zh-CN"/>
        </w:rPr>
        <w:t>三、项目实施及管理情况</w:t>
      </w:r>
    </w:p>
    <w:p>
      <w:pPr>
        <w:adjustRightInd w:val="0"/>
        <w:snapToGrid w:val="0"/>
        <w:spacing w:line="560" w:lineRule="exact"/>
        <w:ind w:firstLine="640" w:firstLineChars="200"/>
        <w:rPr>
          <w:rFonts w:hint="eastAsia" w:ascii="仿宋_GB2312" w:hAnsi="仿宋_GB2312" w:eastAsia="仿宋_GB2312" w:cs="仿宋_GB2312"/>
          <w:b/>
          <w:sz w:val="32"/>
          <w:szCs w:val="32"/>
          <w:lang w:val="zh-CN"/>
        </w:rPr>
      </w:pPr>
      <w:r>
        <w:rPr>
          <w:rFonts w:hint="eastAsia" w:ascii="楷体_GB2312" w:hAnsi="楷体_GB2312" w:eastAsia="楷体_GB2312" w:cs="楷体_GB2312"/>
          <w:bCs/>
          <w:sz w:val="32"/>
          <w:szCs w:val="32"/>
          <w:lang w:val="zh-CN"/>
        </w:rPr>
        <w:t>（一）</w:t>
      </w:r>
      <w:r>
        <w:rPr>
          <w:rFonts w:hint="eastAsia" w:ascii="楷体_GB2312" w:hAnsi="楷体_GB2312" w:eastAsia="楷体_GB2312" w:cs="楷体_GB2312"/>
          <w:sz w:val="32"/>
          <w:szCs w:val="32"/>
          <w:lang w:val="zh-CN"/>
        </w:rPr>
        <w:t>项目组织架构及实施流程。</w:t>
      </w:r>
      <w:r>
        <w:rPr>
          <w:rFonts w:hint="eastAsia" w:ascii="仿宋_GB2312" w:hAnsi="仿宋_GB2312" w:eastAsia="仿宋_GB2312" w:cs="仿宋_GB2312"/>
          <w:sz w:val="32"/>
          <w:szCs w:val="32"/>
          <w:lang w:val="zh-CN"/>
        </w:rPr>
        <w:t>我单位成立了项目领导小组负责项目统筹安排及管理，安排专人具体负责实施。</w:t>
      </w:r>
    </w:p>
    <w:p>
      <w:pPr>
        <w:adjustRightInd w:val="0"/>
        <w:snapToGrid w:val="0"/>
        <w:spacing w:line="560" w:lineRule="exact"/>
        <w:ind w:firstLine="720"/>
        <w:rPr>
          <w:rFonts w:hint="eastAsia" w:ascii="仿宋_GB2312" w:hAnsi="仿宋_GB2312" w:eastAsia="仿宋_GB2312" w:cs="仿宋_GB2312"/>
          <w:sz w:val="32"/>
          <w:szCs w:val="32"/>
          <w:lang w:val="zh-CN"/>
        </w:rPr>
      </w:pPr>
      <w:r>
        <w:rPr>
          <w:rFonts w:hint="eastAsia" w:ascii="楷体_GB2312" w:hAnsi="楷体_GB2312" w:eastAsia="楷体_GB2312" w:cs="楷体_GB2312"/>
          <w:b w:val="0"/>
          <w:bCs/>
          <w:sz w:val="32"/>
          <w:szCs w:val="32"/>
          <w:lang w:val="zh-CN"/>
        </w:rPr>
        <w:t>（二）项目管理情况。</w:t>
      </w:r>
      <w:r>
        <w:rPr>
          <w:rFonts w:hint="eastAsia" w:ascii="仿宋_GB2312" w:hAnsi="仿宋_GB2312" w:eastAsia="仿宋_GB2312" w:cs="仿宋_GB2312"/>
          <w:sz w:val="32"/>
          <w:szCs w:val="32"/>
          <w:lang w:val="zh-CN"/>
        </w:rPr>
        <w:t>我单位严格执行相关法律法规及项目管理制度，管理有序，质量较高，取得了良好的效果。</w:t>
      </w:r>
    </w:p>
    <w:p>
      <w:pPr>
        <w:adjustRightInd w:val="0"/>
        <w:snapToGrid w:val="0"/>
        <w:spacing w:line="560" w:lineRule="exact"/>
        <w:ind w:firstLine="720"/>
        <w:rPr>
          <w:rFonts w:hint="eastAsia" w:ascii="仿宋_GB2312" w:hAnsi="仿宋_GB2312" w:eastAsia="仿宋_GB2312" w:cs="仿宋_GB2312"/>
          <w:sz w:val="32"/>
          <w:szCs w:val="32"/>
          <w:lang w:val="zh-CN"/>
        </w:rPr>
      </w:pPr>
      <w:r>
        <w:rPr>
          <w:rFonts w:hint="eastAsia" w:ascii="楷体_GB2312" w:hAnsi="楷体_GB2312" w:eastAsia="楷体_GB2312" w:cs="楷体_GB2312"/>
          <w:b w:val="0"/>
          <w:bCs/>
          <w:sz w:val="32"/>
          <w:szCs w:val="32"/>
          <w:lang w:val="zh-CN"/>
        </w:rPr>
        <w:t>（三）项目监管情况。</w:t>
      </w:r>
      <w:r>
        <w:rPr>
          <w:rFonts w:hint="eastAsia" w:ascii="仿宋_GB2312" w:hAnsi="仿宋_GB2312" w:eastAsia="仿宋_GB2312" w:cs="仿宋_GB2312"/>
          <w:sz w:val="32"/>
          <w:szCs w:val="32"/>
          <w:lang w:val="zh-CN"/>
        </w:rPr>
        <w:t>我单位项目主要是工作经费，费用支出经过逐级审核，项目实施中纪检部门进行监管，按照单位内控控制制度实施监管，有力的促进了项目顺利实施，圆满完成，监管效果良好。</w:t>
      </w:r>
    </w:p>
    <w:p>
      <w:pPr>
        <w:adjustRightInd w:val="0"/>
        <w:snapToGrid w:val="0"/>
        <w:spacing w:line="560"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zh-CN"/>
        </w:rPr>
        <w:t>四、项目绩效情况</w:t>
      </w:r>
      <w:r>
        <w:rPr>
          <w:rFonts w:hint="eastAsia" w:ascii="黑体" w:hAnsi="黑体" w:eastAsia="黑体" w:cs="黑体"/>
          <w:sz w:val="32"/>
          <w:szCs w:val="32"/>
          <w:lang w:val="zh-CN"/>
        </w:rPr>
        <w:tab/>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（一）项目完成情况</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项目全部完成预期目标，全年开展监督检查12次，对市民政局、市退役军人事务局、市残疾人联合会3家单位反馈存在问题和意见建议共计30余条并监督督促整改落实，监督督促各单位履职尽责，完成市委市政府及上级主管部门部署的各项重要任务。开展审查调查工作。均达到数量计划值，质量良好、按时完成、未超预算，无资金结余，无违规违纪情况。</w:t>
      </w:r>
      <w:r>
        <w:rPr>
          <w:rFonts w:hint="eastAsia" w:ascii="仿宋_GB2312" w:hAnsi="仿宋_GB2312" w:eastAsia="仿宋_GB2312" w:cs="仿宋_GB2312"/>
          <w:sz w:val="32"/>
          <w:szCs w:val="32"/>
        </w:rPr>
        <w:t xml:space="preserve">      </w:t>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（二）项目效益情况</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派驻纪检组是党内监督的重要形式，具有重大意义，对于推动党风廉政建设和反腐工作具有独特的优势。派驻纪检组对被监督者形成强大的震慑力，有效的增强了监督的权威性，加强了反腐败工作和加强党风廉政建设</w:t>
      </w:r>
      <w:r>
        <w:rPr>
          <w:rFonts w:hint="eastAsia" w:ascii="仿宋_GB2312" w:hAnsi="仿宋_GB2312" w:eastAsia="仿宋_GB2312" w:cs="仿宋_GB2312"/>
          <w:sz w:val="32"/>
          <w:szCs w:val="32"/>
        </w:rPr>
        <w:t>。让人民群众满意。</w:t>
      </w:r>
    </w:p>
    <w:p>
      <w:pPr>
        <w:adjustRightInd w:val="0"/>
        <w:snapToGrid w:val="0"/>
        <w:spacing w:line="560"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zh-CN"/>
        </w:rPr>
        <w:t>五、评价结论及建议</w:t>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（一）评价结论</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项目管理良好，实施有序，绩效显著。均达到了预期目标</w:t>
      </w:r>
      <w:r>
        <w:rPr>
          <w:rFonts w:hint="eastAsia" w:ascii="仿宋_GB2312" w:hAnsi="仿宋_GB2312" w:eastAsia="仿宋_GB2312" w:cs="仿宋_GB2312"/>
          <w:sz w:val="32"/>
          <w:szCs w:val="32"/>
          <w:lang w:val="zh-CN"/>
        </w:rPr>
        <w:t>。评价得分</w:t>
      </w:r>
      <w:r>
        <w:rPr>
          <w:rFonts w:hint="eastAsia" w:ascii="仿宋_GB2312" w:hAnsi="仿宋_GB2312" w:eastAsia="仿宋_GB2312" w:cs="仿宋_GB2312"/>
          <w:sz w:val="32"/>
          <w:szCs w:val="32"/>
        </w:rPr>
        <w:t>100分。</w:t>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（二）存在的问题</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无。</w:t>
      </w:r>
      <w:r>
        <w:rPr>
          <w:rFonts w:hint="eastAsia" w:ascii="仿宋_GB2312" w:hAnsi="仿宋_GB2312" w:eastAsia="仿宋_GB2312" w:cs="仿宋_GB2312"/>
          <w:sz w:val="32"/>
          <w:szCs w:val="32"/>
          <w:lang w:val="zh-CN"/>
        </w:rPr>
        <w:tab/>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（三）相关建议</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一是加强业务培训，进一步提高工作人员财政资金绩效意识；二是进一步细化项目预算，严格控制各项费用，过紧日子；三是今后对于财政资金项目，加大评价结果应用，真正做到“用钱必问效，无效必问责”。</w:t>
      </w:r>
    </w:p>
    <w:tbl>
      <w:tblPr>
        <w:tblStyle w:val="12"/>
        <w:tblW w:w="5000" w:type="pct"/>
        <w:tblInd w:w="0" w:type="dxa"/>
        <w:tblLayout w:type="autofit"/>
        <w:tblCellMar>
          <w:top w:w="0" w:type="dxa"/>
          <w:left w:w="108" w:type="dxa"/>
          <w:bottom w:w="0" w:type="dxa"/>
          <w:right w:w="108" w:type="dxa"/>
        </w:tblCellMar>
      </w:tblPr>
      <w:tblGrid>
        <w:gridCol w:w="1297"/>
        <w:gridCol w:w="699"/>
        <w:gridCol w:w="924"/>
        <w:gridCol w:w="969"/>
        <w:gridCol w:w="516"/>
        <w:gridCol w:w="1446"/>
        <w:gridCol w:w="1689"/>
        <w:gridCol w:w="155"/>
        <w:gridCol w:w="1365"/>
      </w:tblGrid>
      <w:tr>
        <w:tblPrEx>
          <w:tblCellMar>
            <w:top w:w="0" w:type="dxa"/>
            <w:left w:w="108" w:type="dxa"/>
            <w:bottom w:w="0" w:type="dxa"/>
            <w:right w:w="108" w:type="dxa"/>
          </w:tblCellMar>
        </w:tblPrEx>
        <w:trPr>
          <w:trHeight w:val="585" w:hRule="atLeast"/>
        </w:trPr>
        <w:tc>
          <w:tcPr>
            <w:tcW w:w="5000" w:type="pct"/>
            <w:gridSpan w:val="9"/>
            <w:tcBorders>
              <w:top w:val="nil"/>
              <w:left w:val="nil"/>
              <w:bottom w:val="nil"/>
              <w:right w:val="nil"/>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宋体" w:hAnsi="宋体" w:eastAsia="宋体" w:cs="宋体"/>
                <w:b/>
                <w:bCs/>
                <w:color w:val="000000"/>
                <w:kern w:val="0"/>
                <w:sz w:val="28"/>
                <w:szCs w:val="28"/>
                <w:lang w:val="en-US" w:eastAsia="zh-CN" w:bidi="ar"/>
              </w:rPr>
              <w:t>2021年部门预算项目绩效目标</w:t>
            </w:r>
            <w:r>
              <w:rPr>
                <w:rFonts w:hint="eastAsia" w:ascii="宋体" w:hAnsi="宋体" w:eastAsia="宋体" w:cs="宋体"/>
                <w:b/>
                <w:bCs/>
                <w:color w:val="000000"/>
                <w:kern w:val="0"/>
                <w:sz w:val="28"/>
                <w:szCs w:val="28"/>
                <w:lang w:bidi="ar"/>
              </w:rPr>
              <w:t>自评表</w:t>
            </w:r>
          </w:p>
        </w:tc>
      </w:tr>
      <w:tr>
        <w:tblPrEx>
          <w:tblCellMar>
            <w:top w:w="0" w:type="dxa"/>
            <w:left w:w="108" w:type="dxa"/>
            <w:bottom w:w="0" w:type="dxa"/>
            <w:right w:w="108" w:type="dxa"/>
          </w:tblCellMar>
        </w:tblPrEx>
        <w:trPr>
          <w:trHeight w:val="285" w:hRule="atLeast"/>
        </w:trPr>
        <w:tc>
          <w:tcPr>
            <w:tcW w:w="16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项目名称</w:t>
            </w:r>
          </w:p>
        </w:tc>
        <w:tc>
          <w:tcPr>
            <w:tcW w:w="338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派驻纪检监察组工作经费</w:t>
            </w:r>
          </w:p>
        </w:tc>
      </w:tr>
      <w:tr>
        <w:tblPrEx>
          <w:tblCellMar>
            <w:top w:w="0" w:type="dxa"/>
            <w:left w:w="108" w:type="dxa"/>
            <w:bottom w:w="0" w:type="dxa"/>
            <w:right w:w="108" w:type="dxa"/>
          </w:tblCellMar>
        </w:tblPrEx>
        <w:trPr>
          <w:trHeight w:val="285" w:hRule="atLeast"/>
        </w:trPr>
        <w:tc>
          <w:tcPr>
            <w:tcW w:w="16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主管单位</w:t>
            </w:r>
          </w:p>
        </w:tc>
        <w:tc>
          <w:tcPr>
            <w:tcW w:w="535" w:type="pct"/>
            <w:tcBorders>
              <w:top w:val="single" w:color="000000" w:sz="4" w:space="0"/>
              <w:left w:val="single" w:color="000000" w:sz="4" w:space="0"/>
              <w:bottom w:val="single" w:color="000000" w:sz="4" w:space="0"/>
              <w:right w:val="nil"/>
            </w:tcBorders>
            <w:shd w:val="clear" w:color="auto" w:fill="auto"/>
            <w:vAlign w:val="center"/>
          </w:tcPr>
          <w:p>
            <w:pPr>
              <w:jc w:val="center"/>
              <w:rPr>
                <w:rFonts w:ascii="仿宋_GB2312" w:hAnsi="仿宋_GB2312" w:eastAsia="仿宋_GB2312" w:cs="仿宋_GB2312"/>
                <w:color w:val="000000"/>
                <w:sz w:val="24"/>
              </w:rPr>
            </w:pPr>
          </w:p>
        </w:tc>
        <w:tc>
          <w:tcPr>
            <w:tcW w:w="284" w:type="pct"/>
            <w:tcBorders>
              <w:top w:val="single" w:color="000000" w:sz="4" w:space="0"/>
              <w:left w:val="nil"/>
              <w:bottom w:val="single" w:color="000000" w:sz="4" w:space="0"/>
              <w:right w:val="nil"/>
            </w:tcBorders>
            <w:shd w:val="clear" w:color="auto" w:fill="auto"/>
            <w:vAlign w:val="center"/>
          </w:tcPr>
          <w:p>
            <w:pPr>
              <w:jc w:val="center"/>
              <w:rPr>
                <w:rFonts w:ascii="仿宋_GB2312" w:hAnsi="仿宋_GB2312" w:eastAsia="仿宋_GB2312" w:cs="仿宋_GB2312"/>
                <w:color w:val="000000"/>
                <w:sz w:val="24"/>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实施单位</w:t>
            </w:r>
          </w:p>
        </w:tc>
        <w:tc>
          <w:tcPr>
            <w:tcW w:w="1769" w:type="pct"/>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市纪委监委驻市民政局纪检监察组</w:t>
            </w:r>
          </w:p>
        </w:tc>
      </w:tr>
      <w:tr>
        <w:tblPrEx>
          <w:tblCellMar>
            <w:top w:w="0" w:type="dxa"/>
            <w:left w:w="108" w:type="dxa"/>
            <w:bottom w:w="0" w:type="dxa"/>
            <w:right w:w="108" w:type="dxa"/>
          </w:tblCellMar>
        </w:tblPrEx>
        <w:trPr>
          <w:trHeight w:val="570" w:hRule="atLeast"/>
        </w:trPr>
        <w:tc>
          <w:tcPr>
            <w:tcW w:w="7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预算</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执行</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情况</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（万元）</w:t>
            </w:r>
          </w:p>
        </w:tc>
        <w:tc>
          <w:tcPr>
            <w:tcW w:w="8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预算数：</w:t>
            </w:r>
          </w:p>
        </w:tc>
        <w:tc>
          <w:tcPr>
            <w:tcW w:w="8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执行数：</w:t>
            </w:r>
          </w:p>
        </w:tc>
        <w:tc>
          <w:tcPr>
            <w:tcW w:w="17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540" w:hRule="atLeast"/>
        </w:trPr>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8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8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18</w:t>
            </w:r>
          </w:p>
        </w:tc>
        <w:tc>
          <w:tcPr>
            <w:tcW w:w="798" w:type="pct"/>
            <w:tcBorders>
              <w:top w:val="single" w:color="000000" w:sz="4" w:space="0"/>
              <w:left w:val="nil"/>
              <w:bottom w:val="nil"/>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17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18</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8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其他资金</w:t>
            </w:r>
          </w:p>
        </w:tc>
        <w:tc>
          <w:tcPr>
            <w:tcW w:w="8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798" w:type="pct"/>
            <w:tcBorders>
              <w:top w:val="single" w:color="000000" w:sz="4" w:space="0"/>
              <w:left w:val="nil"/>
              <w:bottom w:val="nil"/>
              <w:right w:val="single" w:color="000000" w:sz="4" w:space="0"/>
            </w:tcBorders>
            <w:shd w:val="clear" w:color="auto" w:fill="auto"/>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其他资金</w:t>
            </w:r>
          </w:p>
        </w:tc>
        <w:tc>
          <w:tcPr>
            <w:tcW w:w="17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年度</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目标</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完成</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情况</w:t>
            </w:r>
          </w:p>
        </w:tc>
        <w:tc>
          <w:tcPr>
            <w:tcW w:w="17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预期目标</w:t>
            </w:r>
          </w:p>
        </w:tc>
        <w:tc>
          <w:tcPr>
            <w:tcW w:w="256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实际完成目标</w:t>
            </w:r>
          </w:p>
        </w:tc>
      </w:tr>
      <w:tr>
        <w:tblPrEx>
          <w:tblCellMar>
            <w:top w:w="0" w:type="dxa"/>
            <w:left w:w="108" w:type="dxa"/>
            <w:bottom w:w="0" w:type="dxa"/>
            <w:right w:w="108" w:type="dxa"/>
          </w:tblCellMar>
        </w:tblPrEx>
        <w:trPr>
          <w:trHeight w:val="2441" w:hRule="atLeast"/>
        </w:trPr>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715" w:type="pct"/>
            <w:gridSpan w:val="4"/>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对市民政局、市退役军人事务局、市残疾人联合会3家单位开展纪检监察派驻监督，保障上级决策部署在以上单位有效贯彻落实，监督督促各单位履职尽责，服务群众。违纪违法的单位和个人开展审查调查和处置。</w:t>
            </w:r>
          </w:p>
        </w:tc>
        <w:tc>
          <w:tcPr>
            <w:tcW w:w="2567" w:type="pct"/>
            <w:gridSpan w:val="4"/>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已完成。全年开展监督检查12次，对市民政局、市退役军人事务局、市残疾人联合会3家单位反馈存在问题和意见建议共计30余条并监督督促整改落实，监督督促各单位履职尽责，完成市委市政府及上级主管部门部署的各项重要任务。开展审查调查工作，此部分内容略。</w:t>
            </w:r>
          </w:p>
        </w:tc>
      </w:tr>
      <w:tr>
        <w:tblPrEx>
          <w:tblCellMar>
            <w:top w:w="0" w:type="dxa"/>
            <w:left w:w="108" w:type="dxa"/>
            <w:bottom w:w="0" w:type="dxa"/>
            <w:right w:w="108" w:type="dxa"/>
          </w:tblCellMar>
        </w:tblPrEx>
        <w:trPr>
          <w:trHeight w:val="1035" w:hRule="atLeast"/>
        </w:trPr>
        <w:tc>
          <w:tcPr>
            <w:tcW w:w="7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年度</w:t>
            </w:r>
          </w:p>
          <w:p>
            <w:pPr>
              <w:widowControl/>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绩效</w:t>
            </w:r>
          </w:p>
          <w:p>
            <w:pPr>
              <w:widowControl/>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指标</w:t>
            </w:r>
          </w:p>
          <w:p>
            <w:pPr>
              <w:widowControl/>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完成</w:t>
            </w:r>
          </w:p>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情况</w:t>
            </w:r>
          </w:p>
        </w:tc>
        <w:tc>
          <w:tcPr>
            <w:tcW w:w="386"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一级指标</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二级指标</w:t>
            </w:r>
          </w:p>
        </w:tc>
        <w:tc>
          <w:tcPr>
            <w:tcW w:w="8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三级指标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指标值（包含数字及文字描述）</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实际完成指标值（包含数字及文字描述）</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未完成原因及改进措施</w:t>
            </w:r>
          </w:p>
        </w:tc>
      </w:tr>
      <w:tr>
        <w:tblPrEx>
          <w:tblCellMar>
            <w:top w:w="0" w:type="dxa"/>
            <w:left w:w="108" w:type="dxa"/>
            <w:bottom w:w="0" w:type="dxa"/>
            <w:right w:w="108" w:type="dxa"/>
          </w:tblCellMar>
        </w:tblPrEx>
        <w:trPr>
          <w:trHeight w:val="90" w:hRule="atLeast"/>
        </w:trPr>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数量指标</w:t>
            </w:r>
          </w:p>
        </w:tc>
        <w:tc>
          <w:tcPr>
            <w:tcW w:w="8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指标1：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全年开展全覆盖监督检查不少于1次。开展审查调查工作，此部分内容略。</w:t>
            </w:r>
          </w:p>
        </w:tc>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全年开展监督检查12次，对市民政局、市退役军人事务局、市残疾人联合会3家单位反馈存在问题和意见建议共计30余条并监督督促整改落实。开展审查调查工作，此部分内容略。</w:t>
            </w:r>
          </w:p>
        </w:tc>
        <w:tc>
          <w:tcPr>
            <w:tcW w:w="8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已完成</w:t>
            </w:r>
          </w:p>
        </w:tc>
      </w:tr>
      <w:tr>
        <w:tblPrEx>
          <w:tblCellMar>
            <w:top w:w="0" w:type="dxa"/>
            <w:left w:w="108" w:type="dxa"/>
            <w:bottom w:w="0" w:type="dxa"/>
            <w:right w:w="108" w:type="dxa"/>
          </w:tblCellMar>
        </w:tblPrEx>
        <w:trPr>
          <w:trHeight w:val="1368" w:hRule="atLeast"/>
        </w:trPr>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满意度</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满意度指标</w:t>
            </w:r>
          </w:p>
        </w:tc>
        <w:tc>
          <w:tcPr>
            <w:tcW w:w="8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完成上级纪检监察机关和人民群众满意的工作</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8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100%</w:t>
            </w:r>
          </w:p>
        </w:tc>
      </w:tr>
    </w:tbl>
    <w:p>
      <w:pPr>
        <w:pStyle w:val="2"/>
        <w:rPr>
          <w:rFonts w:hint="eastAsia" w:ascii="仿宋_GB2312" w:hAnsi="仿宋_GB2312" w:eastAsia="仿宋_GB2312" w:cs="仿宋_GB2312"/>
          <w:sz w:val="32"/>
          <w:szCs w:val="32"/>
          <w:lang w:val="zh-CN"/>
        </w:rPr>
      </w:pPr>
    </w:p>
    <w:p>
      <w:pPr>
        <w:pStyle w:val="2"/>
        <w:rPr>
          <w:rFonts w:hint="eastAsia" w:ascii="仿宋_GB2312" w:hAnsi="仿宋_GB2312" w:eastAsia="仿宋_GB2312" w:cs="仿宋_GB2312"/>
          <w:sz w:val="32"/>
          <w:szCs w:val="32"/>
          <w:lang w:val="zh-CN"/>
        </w:rPr>
      </w:pPr>
    </w:p>
    <w:p>
      <w:pPr>
        <w:pStyle w:val="2"/>
        <w:rPr>
          <w:rFonts w:hint="eastAsia" w:ascii="仿宋_GB2312" w:hAnsi="仿宋_GB2312" w:eastAsia="仿宋_GB2312" w:cs="仿宋_GB2312"/>
          <w:sz w:val="32"/>
          <w:szCs w:val="32"/>
          <w:lang w:val="zh-CN"/>
        </w:rPr>
      </w:pPr>
    </w:p>
    <w:p>
      <w:pPr>
        <w:adjustRightInd w:val="0"/>
        <w:snapToGrid w:val="0"/>
        <w:spacing w:line="560" w:lineRule="exact"/>
        <w:jc w:val="both"/>
        <w:rPr>
          <w:rFonts w:hint="eastAsia" w:ascii="黑体" w:hAnsi="黑体" w:eastAsia="黑体" w:cs="黑体"/>
          <w:sz w:val="32"/>
          <w:szCs w:val="32"/>
          <w:shd w:val="clear" w:color="auto" w:fill="FFFFFF"/>
        </w:rPr>
      </w:pPr>
    </w:p>
    <w:p>
      <w:pPr>
        <w:adjustRightInd w:val="0"/>
        <w:snapToGrid w:val="0"/>
        <w:spacing w:line="560" w:lineRule="exact"/>
        <w:jc w:val="center"/>
        <w:rPr>
          <w:rFonts w:hint="eastAsia" w:ascii="黑体" w:hAnsi="黑体" w:eastAsia="黑体" w:cs="黑体"/>
          <w:color w:val="auto"/>
          <w:kern w:val="2"/>
          <w:sz w:val="32"/>
          <w:szCs w:val="32"/>
        </w:rPr>
      </w:pPr>
      <w:r>
        <w:rPr>
          <w:rFonts w:hint="eastAsia" w:ascii="黑体" w:hAnsi="黑体" w:eastAsia="黑体" w:cs="黑体"/>
          <w:sz w:val="32"/>
          <w:szCs w:val="32"/>
          <w:shd w:val="clear" w:color="auto" w:fill="FFFFFF"/>
        </w:rPr>
        <w:t>202</w:t>
      </w:r>
      <w:r>
        <w:rPr>
          <w:rFonts w:hint="eastAsia" w:ascii="黑体" w:hAnsi="黑体" w:eastAsia="黑体" w:cs="黑体"/>
          <w:sz w:val="32"/>
          <w:szCs w:val="32"/>
          <w:shd w:val="clear" w:color="auto" w:fill="FFFFFF"/>
          <w:lang w:val="en-US"/>
        </w:rPr>
        <w:t>1</w:t>
      </w:r>
      <w:r>
        <w:rPr>
          <w:rFonts w:hint="eastAsia" w:ascii="黑体" w:hAnsi="黑体" w:eastAsia="黑体" w:cs="黑体"/>
          <w:sz w:val="32"/>
          <w:szCs w:val="32"/>
          <w:shd w:val="clear" w:color="auto" w:fill="FFFFFF"/>
        </w:rPr>
        <w:t>年</w:t>
      </w:r>
      <w:r>
        <w:rPr>
          <w:rFonts w:hint="eastAsia" w:ascii="黑体" w:hAnsi="黑体" w:eastAsia="黑体" w:cs="黑体"/>
          <w:sz w:val="32"/>
          <w:szCs w:val="32"/>
          <w:shd w:val="clear" w:color="auto" w:fill="FFFFFF"/>
          <w:lang w:val="en-US"/>
        </w:rPr>
        <w:t>慈善项目对接和项目引进工作经费</w:t>
      </w:r>
      <w:r>
        <w:rPr>
          <w:rFonts w:hint="eastAsia" w:ascii="黑体" w:hAnsi="黑体" w:eastAsia="黑体" w:cs="黑体"/>
          <w:sz w:val="32"/>
          <w:szCs w:val="32"/>
          <w:shd w:val="clear" w:color="auto" w:fill="FFFFFF"/>
        </w:rPr>
        <w:t>项目绩效自评报告</w:t>
      </w:r>
    </w:p>
    <w:p>
      <w:pPr>
        <w:adjustRightInd w:val="0"/>
        <w:snapToGrid w:val="0"/>
        <w:spacing w:line="560" w:lineRule="exact"/>
        <w:rPr>
          <w:rFonts w:hint="eastAsia" w:ascii="仿宋_GB2312" w:hAnsi="仿宋_GB2312" w:eastAsia="仿宋_GB2312" w:cs="仿宋_GB2312"/>
          <w:sz w:val="32"/>
          <w:szCs w:val="32"/>
          <w:lang w:val="zh-CN"/>
        </w:rPr>
      </w:pPr>
    </w:p>
    <w:p>
      <w:pPr>
        <w:adjustRightInd w:val="0"/>
        <w:snapToGrid w:val="0"/>
        <w:spacing w:line="560"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zh-CN"/>
        </w:rPr>
        <w:t>一、项目概况</w:t>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（一）项目基本情况</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项目主管部门（单位）在该项目管理中的职能。</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加强与四川省慈善总会、浙江省慈善联合总会和有实力的企业交流与合作，引进一批优秀的慈善项目在本地落地实施。</w:t>
      </w:r>
      <w:r>
        <w:rPr>
          <w:rFonts w:hint="eastAsia" w:ascii="仿宋_GB2312" w:hAnsi="仿宋_GB2312" w:eastAsia="仿宋_GB2312" w:cs="仿宋_GB2312"/>
          <w:sz w:val="32"/>
          <w:szCs w:val="32"/>
        </w:rPr>
        <w:t>本单位在项目管理的职责包括指导培训、监督检查等，由市慈善事业和社会工作发展中心负责具体实施。</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项目立项、资金申报的依据。</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项目立项、资金申报的依据主要是本单位职能职责及年度工作计划。</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资金管理办法制定情况，资金支持具体项目的条件、范围与支持方式概况。</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本项目主要是工作经费，按照财政资金相关管理办法和要求执行。资金支持具体项目的条件是根据部门工作计划要求安排。财政全额支持。</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t>资金分配的原则及考虑因素。</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项目资金全部由本单位使用，根据项目具体实施内容匹配资金。</w:t>
      </w:r>
    </w:p>
    <w:p>
      <w:pPr>
        <w:numPr>
          <w:ilvl w:val="0"/>
          <w:numId w:val="0"/>
        </w:num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（二）项目绩效目标</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项目主要内容。</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项目主要内容为加强与四川省慈善总会、浙江省慈善联合总会和有实力的企业交流与合作，引进一批优秀的慈善项目在本地落地实施。</w:t>
      </w:r>
    </w:p>
    <w:p>
      <w:pPr>
        <w:adjustRightInd w:val="0"/>
        <w:snapToGrid w:val="0"/>
        <w:spacing w:line="56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项目应实现的具体绩效目标，包括目标的量化、细化情况以及项目实施进度计划等。</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项目申请时依据项目实际情况明确了具体的绩效目标：</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数量指标: 指标1：慈善项目对接次数，对接省级以上及其他外省次数全年不低于5次。指标2：落实具体项目个数，全年落实省级以上慈善项目不低于2个。</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质量指标：对接成功。</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时效指标:2021年12月31日前完成。</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成本指标： 6.43万元。</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社会效益指标：惠及广元困难群众，以慈善的补充作用，促进实施一批项目。</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满意度指标：困难群众满意度≧100%。</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项目制定了详细可行的进度计划，确保了项目顺利实施。</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分析评价申报内容是否与实际相符，申报目标是否合理可行。</w:t>
      </w:r>
    </w:p>
    <w:p>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绩效自评结果表明，项目</w:t>
      </w:r>
      <w:r>
        <w:rPr>
          <w:rFonts w:hint="eastAsia" w:ascii="仿宋_GB2312" w:hAnsi="仿宋_GB2312" w:eastAsia="仿宋_GB2312" w:cs="仿宋_GB2312"/>
          <w:sz w:val="32"/>
          <w:szCs w:val="32"/>
          <w:lang w:val="zh-CN"/>
        </w:rPr>
        <w:t>申报内容与实际相符，申报目标合理可行。</w:t>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（三）项目自评步骤及方法</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我单位对此次自评工作高度重视，成立了绩效评价工作小组，按照下列程序实施：</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分解任务：根据部门支出绩效评价涉及的工作内容，分解到各科室；</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科室初评：业务科室根据计分标准对各自负责的工作逐一检查，翻阅资料，对标自评；</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小组复评：绩效评价工作小组对初评情况进行检查，并再次评价；</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整理上报：对自评情况进行梳理，及时上报财政部门，并对存在的问题落实整改。</w:t>
      </w:r>
    </w:p>
    <w:p>
      <w:pPr>
        <w:adjustRightInd w:val="0"/>
        <w:snapToGrid w:val="0"/>
        <w:spacing w:line="560"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zh-CN"/>
        </w:rPr>
        <w:t>二、项目资金申报及使用情况</w:t>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（一）项目资金申报及批复情况</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本项目资金是年初纳入部门预算申报并获得批复，无预算调整。</w:t>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（二）资金计划、到位及使用情况如下：</w:t>
      </w:r>
    </w:p>
    <w:tbl>
      <w:tblPr>
        <w:tblStyle w:val="12"/>
        <w:tblW w:w="9529" w:type="dxa"/>
        <w:tblInd w:w="0" w:type="dxa"/>
        <w:tblLayout w:type="autofit"/>
        <w:tblCellMar>
          <w:top w:w="0" w:type="dxa"/>
          <w:left w:w="0" w:type="dxa"/>
          <w:bottom w:w="0" w:type="dxa"/>
          <w:right w:w="0" w:type="dxa"/>
        </w:tblCellMar>
      </w:tblPr>
      <w:tblGrid>
        <w:gridCol w:w="3250"/>
        <w:gridCol w:w="2221"/>
        <w:gridCol w:w="2053"/>
        <w:gridCol w:w="2005"/>
      </w:tblGrid>
      <w:tr>
        <w:tblPrEx>
          <w:tblCellMar>
            <w:top w:w="0" w:type="dxa"/>
            <w:left w:w="0" w:type="dxa"/>
            <w:bottom w:w="0" w:type="dxa"/>
            <w:right w:w="0" w:type="dxa"/>
          </w:tblCellMar>
        </w:tblPrEx>
        <w:trPr>
          <w:trHeight w:val="420" w:hRule="atLeast"/>
        </w:trPr>
        <w:tc>
          <w:tcPr>
            <w:tcW w:w="325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项目名称</w:t>
            </w:r>
          </w:p>
        </w:tc>
        <w:tc>
          <w:tcPr>
            <w:tcW w:w="2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资金预算（元）</w:t>
            </w:r>
          </w:p>
        </w:tc>
        <w:tc>
          <w:tcPr>
            <w:tcW w:w="2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资金到位（元）</w:t>
            </w:r>
          </w:p>
        </w:tc>
        <w:tc>
          <w:tcPr>
            <w:tcW w:w="2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资金使用（元）</w:t>
            </w:r>
          </w:p>
        </w:tc>
      </w:tr>
      <w:tr>
        <w:tblPrEx>
          <w:tblCellMar>
            <w:top w:w="0" w:type="dxa"/>
            <w:left w:w="0" w:type="dxa"/>
            <w:bottom w:w="0" w:type="dxa"/>
            <w:right w:w="0" w:type="dxa"/>
          </w:tblCellMar>
        </w:tblPrEx>
        <w:trPr>
          <w:trHeight w:val="420" w:hRule="atLeast"/>
        </w:trPr>
        <w:tc>
          <w:tcPr>
            <w:tcW w:w="325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sz w:val="30"/>
                <w:szCs w:val="30"/>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财政资金</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财政资金</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财政资金</w:t>
            </w:r>
          </w:p>
        </w:tc>
      </w:tr>
      <w:tr>
        <w:tblPrEx>
          <w:tblCellMar>
            <w:top w:w="0" w:type="dxa"/>
            <w:left w:w="0" w:type="dxa"/>
            <w:bottom w:w="0" w:type="dxa"/>
            <w:right w:w="0" w:type="dxa"/>
          </w:tblCellMar>
        </w:tblPrEx>
        <w:trPr>
          <w:trHeight w:val="460" w:hRule="atLeast"/>
        </w:trPr>
        <w:tc>
          <w:tcPr>
            <w:tcW w:w="3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慈善项目对接和项目引进</w:t>
            </w:r>
          </w:p>
        </w:tc>
        <w:tc>
          <w:tcPr>
            <w:tcW w:w="2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64300</w:t>
            </w:r>
          </w:p>
        </w:tc>
        <w:tc>
          <w:tcPr>
            <w:tcW w:w="2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64300</w:t>
            </w:r>
          </w:p>
        </w:tc>
        <w:tc>
          <w:tcPr>
            <w:tcW w:w="2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64300</w:t>
            </w:r>
          </w:p>
        </w:tc>
      </w:tr>
    </w:tbl>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资金计划。</w:t>
      </w:r>
      <w:r>
        <w:rPr>
          <w:rFonts w:hint="eastAsia" w:ascii="仿宋_GB2312" w:hAnsi="仿宋_GB2312" w:eastAsia="仿宋_GB2312" w:cs="仿宋_GB2312"/>
          <w:sz w:val="32"/>
          <w:szCs w:val="32"/>
        </w:rPr>
        <w:t>项目资金计划64300元，均为财政资金。</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资金到位。资金到位率</w:t>
      </w:r>
      <w:r>
        <w:rPr>
          <w:rFonts w:hint="eastAsia" w:ascii="仿宋_GB2312" w:hAnsi="仿宋_GB2312" w:eastAsia="仿宋_GB2312" w:cs="仿宋_GB2312"/>
          <w:sz w:val="32"/>
          <w:szCs w:val="32"/>
        </w:rPr>
        <w:t>100%，</w:t>
      </w:r>
      <w:r>
        <w:rPr>
          <w:rFonts w:hint="eastAsia" w:ascii="仿宋_GB2312" w:hAnsi="仿宋_GB2312" w:eastAsia="仿宋_GB2312" w:cs="仿宋_GB2312"/>
          <w:sz w:val="32"/>
          <w:szCs w:val="32"/>
          <w:lang w:val="zh-CN"/>
        </w:rPr>
        <w:t>到位及时率</w:t>
      </w:r>
      <w:r>
        <w:rPr>
          <w:rFonts w:hint="eastAsia" w:ascii="仿宋_GB2312" w:hAnsi="仿宋_GB2312" w:eastAsia="仿宋_GB2312" w:cs="仿宋_GB2312"/>
          <w:sz w:val="32"/>
          <w:szCs w:val="32"/>
        </w:rPr>
        <w:t>100%.</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资金使用。资金支出</w:t>
      </w:r>
      <w:r>
        <w:rPr>
          <w:rFonts w:hint="eastAsia" w:ascii="仿宋_GB2312" w:hAnsi="仿宋_GB2312" w:eastAsia="仿宋_GB2312" w:cs="仿宋_GB2312"/>
          <w:sz w:val="32"/>
          <w:szCs w:val="32"/>
        </w:rPr>
        <w:t>64300元，</w:t>
      </w:r>
      <w:r>
        <w:rPr>
          <w:rFonts w:hint="eastAsia" w:ascii="仿宋_GB2312" w:hAnsi="仿宋_GB2312" w:eastAsia="仿宋_GB2312" w:cs="仿宋_GB2312"/>
          <w:sz w:val="32"/>
          <w:szCs w:val="32"/>
          <w:lang w:val="zh-CN"/>
        </w:rPr>
        <w:t>资金使用安全、规范、效果显著。资金支付范围</w:t>
      </w:r>
      <w:r>
        <w:rPr>
          <w:rFonts w:hint="eastAsia" w:ascii="仿宋_GB2312" w:hAnsi="仿宋_GB2312" w:eastAsia="仿宋_GB2312" w:cs="仿宋_GB2312"/>
          <w:sz w:val="32"/>
          <w:szCs w:val="32"/>
        </w:rPr>
        <w:t>全用于项目办公、差旅、接待费用等</w:t>
      </w:r>
      <w:r>
        <w:rPr>
          <w:rFonts w:hint="eastAsia" w:ascii="仿宋_GB2312" w:hAnsi="仿宋_GB2312" w:eastAsia="仿宋_GB2312" w:cs="仿宋_GB2312"/>
          <w:sz w:val="32"/>
          <w:szCs w:val="32"/>
          <w:lang w:val="zh-CN"/>
        </w:rPr>
        <w:t>。支付标准均按照财政资金管理限额（标准）执行。根据项目实施进度支付款项，支付依据合规合法，支出金额与预算相符。</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本单位财务管理制度健全，严格执行财务管理制度，账务处理及时，会计核算规范。</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三、项目实施及管理情况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sz w:val="32"/>
          <w:szCs w:val="32"/>
          <w:lang w:val="zh-CN"/>
        </w:rPr>
      </w:pPr>
      <w:r>
        <w:rPr>
          <w:rFonts w:hint="eastAsia" w:ascii="楷体_GB2312" w:hAnsi="楷体_GB2312" w:eastAsia="楷体_GB2312" w:cs="楷体_GB2312"/>
          <w:bCs/>
          <w:sz w:val="32"/>
          <w:szCs w:val="32"/>
          <w:lang w:val="zh-CN"/>
        </w:rPr>
        <w:t>（一）</w:t>
      </w:r>
      <w:r>
        <w:rPr>
          <w:rFonts w:hint="eastAsia" w:ascii="楷体_GB2312" w:hAnsi="楷体_GB2312" w:eastAsia="楷体_GB2312" w:cs="楷体_GB2312"/>
          <w:sz w:val="32"/>
          <w:szCs w:val="32"/>
          <w:lang w:val="zh-CN"/>
        </w:rPr>
        <w:t>项目组织架构及实施流程。</w:t>
      </w:r>
      <w:r>
        <w:rPr>
          <w:rFonts w:hint="eastAsia" w:ascii="仿宋_GB2312" w:hAnsi="仿宋_GB2312" w:eastAsia="仿宋_GB2312" w:cs="仿宋_GB2312"/>
          <w:sz w:val="32"/>
          <w:szCs w:val="32"/>
          <w:lang w:val="zh-CN"/>
        </w:rPr>
        <w:t>我单位成立了项目领导小组负责项目统筹安排及管理，安排专人具体负责实施。</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sz w:val="32"/>
          <w:szCs w:val="32"/>
          <w:lang w:val="zh-CN"/>
        </w:rPr>
      </w:pPr>
      <w:r>
        <w:rPr>
          <w:rFonts w:hint="eastAsia" w:ascii="楷体_GB2312" w:hAnsi="楷体_GB2312" w:eastAsia="楷体_GB2312" w:cs="楷体_GB2312"/>
          <w:bCs/>
          <w:sz w:val="32"/>
          <w:szCs w:val="32"/>
          <w:lang w:val="zh-CN"/>
        </w:rPr>
        <w:t>（二）项目管理情况。</w:t>
      </w:r>
      <w:r>
        <w:rPr>
          <w:rFonts w:hint="eastAsia" w:ascii="仿宋_GB2312" w:hAnsi="仿宋_GB2312" w:eastAsia="仿宋_GB2312" w:cs="仿宋_GB2312"/>
          <w:sz w:val="32"/>
          <w:szCs w:val="32"/>
          <w:lang w:val="zh-CN"/>
        </w:rPr>
        <w:t>我单位严格执行相关法律法规及项目管理制度，管理有序，质量较高，取得了良好的效果。</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sz w:val="32"/>
          <w:szCs w:val="32"/>
          <w:lang w:val="zh-CN"/>
        </w:rPr>
      </w:pPr>
      <w:r>
        <w:rPr>
          <w:rFonts w:hint="eastAsia" w:ascii="楷体_GB2312" w:hAnsi="楷体_GB2312" w:eastAsia="楷体_GB2312" w:cs="楷体_GB2312"/>
          <w:bCs/>
          <w:sz w:val="32"/>
          <w:szCs w:val="32"/>
          <w:lang w:val="zh-CN"/>
        </w:rPr>
        <w:t>（三）项目监管情况。</w:t>
      </w:r>
      <w:r>
        <w:rPr>
          <w:rFonts w:hint="eastAsia" w:ascii="仿宋_GB2312" w:hAnsi="仿宋_GB2312" w:eastAsia="仿宋_GB2312" w:cs="仿宋_GB2312"/>
          <w:sz w:val="32"/>
          <w:szCs w:val="32"/>
          <w:lang w:val="zh-CN"/>
        </w:rPr>
        <w:t>我单位项目主要是工作经费，费用支出经过逐级审核，项目实施中纪检部门进行监管，按照单位内控控制制度实施监管，有力的促进了项目顺利实施，圆满完成，监管效果良好。</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四、项目绩效情况</w:t>
      </w:r>
      <w:r>
        <w:rPr>
          <w:rFonts w:hint="eastAsia" w:ascii="黑体" w:hAnsi="黑体" w:eastAsia="黑体" w:cs="黑体"/>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项目全部完成预期目标，全年累计到省上对接7次，浙江对接1次。全年落地慈善助学项目、东青中学改造项目、树人中学实验中学项目、浙江儿童关爱之家项目共4个。均达到数量计划值，质量良好、按时完成、未超预算，无资金结余，无违规违纪情况。</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项目取得了良好的社会效益、可持续效益。与发达地区慈善组织建立合作机制、深化东西部协作，通过深化项目合作、搭建互动平台，惠及广元困难群众4万余人。困难群众满意度达100%。</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五、评价结论及建议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bdr w:val="single" w:color="auto" w:sz="4" w:space="0"/>
        </w:rPr>
      </w:pPr>
      <w:r>
        <w:rPr>
          <w:rFonts w:hint="eastAsia" w:ascii="仿宋_GB2312" w:hAnsi="仿宋_GB2312" w:eastAsia="仿宋_GB2312" w:cs="仿宋_GB2312"/>
          <w:sz w:val="32"/>
          <w:szCs w:val="32"/>
        </w:rPr>
        <w:t>项目管理良好，实施有序，绩效显著。均达到了预期目标</w:t>
      </w:r>
      <w:r>
        <w:rPr>
          <w:rFonts w:hint="eastAsia" w:ascii="仿宋_GB2312" w:hAnsi="仿宋_GB2312" w:eastAsia="仿宋_GB2312" w:cs="仿宋_GB2312"/>
          <w:sz w:val="32"/>
          <w:szCs w:val="32"/>
          <w:lang w:val="zh-CN"/>
        </w:rPr>
        <w:t>。评价得分</w:t>
      </w:r>
      <w:r>
        <w:rPr>
          <w:rFonts w:hint="eastAsia" w:ascii="仿宋_GB2312" w:hAnsi="仿宋_GB2312" w:eastAsia="仿宋_GB2312" w:cs="仿宋_GB2312"/>
          <w:sz w:val="32"/>
          <w:szCs w:val="32"/>
        </w:rPr>
        <w:t>100分。</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无。</w:t>
      </w:r>
      <w:r>
        <w:rPr>
          <w:rFonts w:hint="eastAsia" w:ascii="仿宋_GB2312" w:hAnsi="仿宋_GB2312" w:eastAsia="仿宋_GB2312" w:cs="仿宋_GB2312"/>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（三）相关建议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一是加强业务培训，进一步提高工作人员财政资金绩效意识；二是进一步细化项目预算，严格控制各项费用，过紧日子；三是今后对于财政资金项目，加大评价结果应用，真正做到“用钱必问效，无效必问责”。</w:t>
      </w:r>
    </w:p>
    <w:p>
      <w:pPr>
        <w:pStyle w:val="2"/>
        <w:jc w:val="center"/>
        <w:rPr>
          <w:rFonts w:hint="eastAsia" w:ascii="宋体" w:hAnsi="宋体" w:eastAsia="宋体" w:cs="宋体"/>
          <w:b/>
          <w:bCs/>
          <w:color w:val="000000"/>
          <w:kern w:val="0"/>
          <w:sz w:val="28"/>
          <w:szCs w:val="28"/>
          <w:lang w:val="en-US" w:eastAsia="zh-CN" w:bidi="ar"/>
        </w:rPr>
      </w:pPr>
    </w:p>
    <w:p>
      <w:pPr>
        <w:pStyle w:val="2"/>
        <w:jc w:val="center"/>
        <w:rPr>
          <w:rFonts w:hint="eastAsia" w:ascii="宋体" w:hAnsi="宋体" w:eastAsia="宋体" w:cs="宋体"/>
          <w:b/>
          <w:bCs/>
          <w:color w:val="000000"/>
          <w:kern w:val="0"/>
          <w:sz w:val="28"/>
          <w:szCs w:val="28"/>
          <w:lang w:val="en-US" w:eastAsia="zh-CN" w:bidi="ar"/>
        </w:rPr>
      </w:pPr>
    </w:p>
    <w:p>
      <w:pPr>
        <w:pStyle w:val="2"/>
        <w:jc w:val="center"/>
        <w:rPr>
          <w:rFonts w:hint="eastAsia" w:ascii="宋体" w:hAnsi="宋体" w:eastAsia="宋体" w:cs="宋体"/>
          <w:b/>
          <w:bCs/>
          <w:color w:val="000000"/>
          <w:kern w:val="0"/>
          <w:sz w:val="28"/>
          <w:szCs w:val="28"/>
          <w:lang w:val="en-US" w:eastAsia="zh-CN" w:bidi="ar"/>
        </w:rPr>
      </w:pPr>
    </w:p>
    <w:p>
      <w:pPr>
        <w:pStyle w:val="2"/>
        <w:jc w:val="center"/>
        <w:rPr>
          <w:rFonts w:hint="eastAsia" w:ascii="宋体" w:hAnsi="宋体" w:eastAsia="宋体" w:cs="宋体"/>
          <w:b/>
          <w:bCs/>
          <w:color w:val="000000"/>
          <w:kern w:val="0"/>
          <w:sz w:val="28"/>
          <w:szCs w:val="28"/>
          <w:lang w:val="en-US" w:eastAsia="zh-CN" w:bidi="ar"/>
        </w:rPr>
      </w:pPr>
    </w:p>
    <w:p>
      <w:pPr>
        <w:pStyle w:val="2"/>
        <w:jc w:val="center"/>
        <w:rPr>
          <w:rFonts w:hint="eastAsia" w:ascii="宋体" w:hAnsi="宋体" w:eastAsia="宋体" w:cs="宋体"/>
          <w:b/>
          <w:bCs/>
          <w:color w:val="000000"/>
          <w:kern w:val="0"/>
          <w:sz w:val="28"/>
          <w:szCs w:val="28"/>
          <w:lang w:val="en-US" w:eastAsia="zh-CN" w:bidi="ar"/>
        </w:rPr>
      </w:pPr>
    </w:p>
    <w:p>
      <w:pPr>
        <w:pStyle w:val="2"/>
        <w:jc w:val="center"/>
        <w:rPr>
          <w:rFonts w:hint="eastAsia" w:ascii="宋体" w:hAnsi="宋体" w:eastAsia="宋体" w:cs="宋体"/>
          <w:b/>
          <w:bCs/>
          <w:color w:val="000000"/>
          <w:kern w:val="0"/>
          <w:sz w:val="28"/>
          <w:szCs w:val="28"/>
          <w:lang w:val="en-US" w:eastAsia="zh-CN" w:bidi="ar"/>
        </w:rPr>
      </w:pPr>
    </w:p>
    <w:p>
      <w:pPr>
        <w:pStyle w:val="2"/>
        <w:jc w:val="center"/>
        <w:rPr>
          <w:rFonts w:hint="eastAsia" w:ascii="仿宋_GB2312" w:hAnsi="仿宋_GB2312" w:eastAsia="仿宋_GB2312" w:cs="仿宋_GB2312"/>
          <w:sz w:val="32"/>
          <w:szCs w:val="32"/>
          <w:lang w:val="zh-CN"/>
        </w:rPr>
      </w:pPr>
      <w:r>
        <w:rPr>
          <w:rFonts w:hint="eastAsia" w:ascii="宋体" w:hAnsi="宋体" w:eastAsia="宋体" w:cs="宋体"/>
          <w:b/>
          <w:bCs/>
          <w:color w:val="000000"/>
          <w:kern w:val="0"/>
          <w:sz w:val="28"/>
          <w:szCs w:val="28"/>
          <w:lang w:val="en-US" w:eastAsia="zh-CN" w:bidi="ar"/>
        </w:rPr>
        <w:t>2021年部门预算项目绩效目标</w:t>
      </w:r>
      <w:r>
        <w:rPr>
          <w:rFonts w:hint="eastAsia" w:ascii="宋体" w:hAnsi="宋体" w:eastAsia="宋体" w:cs="宋体"/>
          <w:b/>
          <w:bCs/>
          <w:color w:val="000000"/>
          <w:kern w:val="0"/>
          <w:sz w:val="28"/>
          <w:szCs w:val="28"/>
          <w:lang w:bidi="ar"/>
        </w:rPr>
        <w:t>自评表</w:t>
      </w:r>
    </w:p>
    <w:tbl>
      <w:tblPr>
        <w:tblStyle w:val="12"/>
        <w:tblW w:w="9950" w:type="dxa"/>
        <w:tblInd w:w="-5" w:type="dxa"/>
        <w:tblLayout w:type="autofit"/>
        <w:tblCellMar>
          <w:top w:w="0" w:type="dxa"/>
          <w:left w:w="108" w:type="dxa"/>
          <w:bottom w:w="0" w:type="dxa"/>
          <w:right w:w="108" w:type="dxa"/>
        </w:tblCellMar>
      </w:tblPr>
      <w:tblGrid>
        <w:gridCol w:w="1163"/>
        <w:gridCol w:w="1231"/>
        <w:gridCol w:w="1304"/>
        <w:gridCol w:w="1418"/>
        <w:gridCol w:w="1634"/>
        <w:gridCol w:w="1663"/>
        <w:gridCol w:w="1537"/>
      </w:tblGrid>
      <w:tr>
        <w:tblPrEx>
          <w:tblCellMar>
            <w:top w:w="0" w:type="dxa"/>
            <w:left w:w="108" w:type="dxa"/>
            <w:bottom w:w="0" w:type="dxa"/>
            <w:right w:w="108" w:type="dxa"/>
          </w:tblCellMar>
        </w:tblPrEx>
        <w:trPr>
          <w:trHeight w:val="360" w:hRule="atLeast"/>
        </w:trPr>
        <w:tc>
          <w:tcPr>
            <w:tcW w:w="36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项目名称</w:t>
            </w:r>
          </w:p>
        </w:tc>
        <w:tc>
          <w:tcPr>
            <w:tcW w:w="62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慈善项目对接和项目引进</w:t>
            </w:r>
          </w:p>
        </w:tc>
      </w:tr>
      <w:tr>
        <w:tblPrEx>
          <w:tblCellMar>
            <w:top w:w="0" w:type="dxa"/>
            <w:left w:w="108" w:type="dxa"/>
            <w:bottom w:w="0" w:type="dxa"/>
            <w:right w:w="108" w:type="dxa"/>
          </w:tblCellMar>
        </w:tblPrEx>
        <w:trPr>
          <w:trHeight w:val="360" w:hRule="atLeast"/>
        </w:trPr>
        <w:tc>
          <w:tcPr>
            <w:tcW w:w="36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主管单位</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市民政局</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实施单位</w:t>
            </w:r>
          </w:p>
        </w:tc>
        <w:tc>
          <w:tcPr>
            <w:tcW w:w="3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市慈善事业和社会工作发展中心</w:t>
            </w:r>
          </w:p>
        </w:tc>
      </w:tr>
      <w:tr>
        <w:tblPrEx>
          <w:tblCellMar>
            <w:top w:w="0" w:type="dxa"/>
            <w:left w:w="108" w:type="dxa"/>
            <w:bottom w:w="0" w:type="dxa"/>
            <w:right w:w="108" w:type="dxa"/>
          </w:tblCellMar>
        </w:tblPrEx>
        <w:trPr>
          <w:trHeight w:val="360" w:hRule="atLeast"/>
        </w:trPr>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预算</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执行</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情况</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（万元）</w:t>
            </w: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预算数：</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6.43</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执行数：</w:t>
            </w:r>
          </w:p>
        </w:tc>
        <w:tc>
          <w:tcPr>
            <w:tcW w:w="3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6.43</w:t>
            </w:r>
          </w:p>
        </w:tc>
      </w:tr>
      <w:tr>
        <w:tblPrEx>
          <w:tblCellMar>
            <w:top w:w="0" w:type="dxa"/>
            <w:left w:w="108" w:type="dxa"/>
            <w:bottom w:w="0" w:type="dxa"/>
            <w:right w:w="108" w:type="dxa"/>
          </w:tblCellMar>
        </w:tblPrEx>
        <w:trPr>
          <w:trHeight w:val="680" w:hRule="atLeast"/>
        </w:trPr>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6.43</w:t>
            </w:r>
          </w:p>
        </w:tc>
        <w:tc>
          <w:tcPr>
            <w:tcW w:w="1634" w:type="dxa"/>
            <w:tcBorders>
              <w:top w:val="single" w:color="000000" w:sz="4" w:space="0"/>
              <w:left w:val="nil"/>
              <w:bottom w:val="nil"/>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3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6.43</w:t>
            </w:r>
          </w:p>
        </w:tc>
      </w:tr>
      <w:tr>
        <w:tblPrEx>
          <w:tblCellMar>
            <w:top w:w="0" w:type="dxa"/>
            <w:left w:w="108" w:type="dxa"/>
            <w:bottom w:w="0" w:type="dxa"/>
            <w:right w:w="108" w:type="dxa"/>
          </w:tblCellMar>
        </w:tblPrEx>
        <w:trPr>
          <w:trHeight w:val="680" w:hRule="atLeast"/>
        </w:trPr>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其他资金</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634" w:type="dxa"/>
            <w:tcBorders>
              <w:top w:val="single" w:color="000000" w:sz="4" w:space="0"/>
              <w:left w:val="nil"/>
              <w:bottom w:val="nil"/>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其他资金</w:t>
            </w:r>
          </w:p>
        </w:tc>
        <w:tc>
          <w:tcPr>
            <w:tcW w:w="3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680" w:hRule="atLeast"/>
        </w:trPr>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年度</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目标</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完成</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情况</w:t>
            </w:r>
          </w:p>
        </w:tc>
        <w:tc>
          <w:tcPr>
            <w:tcW w:w="3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预期目标</w:t>
            </w:r>
          </w:p>
        </w:tc>
        <w:tc>
          <w:tcPr>
            <w:tcW w:w="48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实际完成目标</w:t>
            </w:r>
          </w:p>
        </w:tc>
      </w:tr>
      <w:tr>
        <w:tblPrEx>
          <w:tblCellMar>
            <w:top w:w="0" w:type="dxa"/>
            <w:left w:w="108" w:type="dxa"/>
            <w:bottom w:w="0" w:type="dxa"/>
            <w:right w:w="108" w:type="dxa"/>
          </w:tblCellMar>
        </w:tblPrEx>
        <w:trPr>
          <w:trHeight w:val="1580" w:hRule="atLeast"/>
        </w:trPr>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3953"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加强与四川省慈善总会、浙江省慈善联合总会和有实力的企业交流与合作，引进一批优秀的慈善项目在本地落地实施。</w:t>
            </w:r>
          </w:p>
        </w:tc>
        <w:tc>
          <w:tcPr>
            <w:tcW w:w="4834"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民政局长安永平2021年多次带队到成都与省慈善总会对接，争取省级慈善资金累计100万元。7月中旬，赴浙江省慈善联合总会、杭州市民政局、杭州市慈善总会、浙江敦和慈善基金会对接东西部协作工作，考察学习慈善基地建设、慈善力量参与基层治理等方面的工作。引进了儿童关爱儿童之家项目。</w:t>
            </w:r>
          </w:p>
        </w:tc>
      </w:tr>
      <w:tr>
        <w:tblPrEx>
          <w:tblCellMar>
            <w:top w:w="0" w:type="dxa"/>
            <w:left w:w="108" w:type="dxa"/>
            <w:bottom w:w="0" w:type="dxa"/>
            <w:right w:w="108" w:type="dxa"/>
          </w:tblCellMar>
        </w:tblPrEx>
        <w:trPr>
          <w:trHeight w:val="780" w:hRule="atLeast"/>
        </w:trPr>
        <w:tc>
          <w:tcPr>
            <w:tcW w:w="1163"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年度</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绩效</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指标</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完成</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情况</w:t>
            </w:r>
          </w:p>
        </w:tc>
        <w:tc>
          <w:tcPr>
            <w:tcW w:w="1231"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一级指标</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二级指标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三级指标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指标值（包含数字及文字描述）</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实际完成指标值（包含数字及文字描述）</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未完成原因及改进措施</w:t>
            </w:r>
          </w:p>
        </w:tc>
      </w:tr>
      <w:tr>
        <w:tblPrEx>
          <w:tblCellMar>
            <w:top w:w="0" w:type="dxa"/>
            <w:left w:w="108" w:type="dxa"/>
            <w:bottom w:w="0" w:type="dxa"/>
            <w:right w:w="108" w:type="dxa"/>
          </w:tblCellMar>
        </w:tblPrEx>
        <w:trPr>
          <w:trHeight w:val="600" w:hRule="atLeast"/>
        </w:trPr>
        <w:tc>
          <w:tcPr>
            <w:tcW w:w="116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304"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数量指标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指标1：慈善项目对接次数</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对接省级以上及其他外省次数全年不低于5次。</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全年累计到省上对接7次，浙江对接1次</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1640" w:hRule="atLeast"/>
        </w:trPr>
        <w:tc>
          <w:tcPr>
            <w:tcW w:w="116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30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指标2：落实具体项目个数</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全年落实省级以上慈善项目不低于2个</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全年落地慈善助学项目、东青中学改造项目、树人中学实验中学项目、浙江儿童关爱之家项目共4个。</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1770" w:hRule="atLeast"/>
        </w:trPr>
        <w:tc>
          <w:tcPr>
            <w:tcW w:w="116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30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质量指标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对接成效</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进一步加强与省以上慈善组织深化合作，引进慈善项目。发挥慈善事业在社会保障体系中的补充作用，促进广元慈善事业发展与社会和谐。</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考察学习了慈善基地建设、慈善力量参与基层治理等方面的工作，并与发达地区慈善组织建立长效合作机制。</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480" w:hRule="atLeast"/>
        </w:trPr>
        <w:tc>
          <w:tcPr>
            <w:tcW w:w="116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30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时效指标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完成时间</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2021年12月31日前</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已完成</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540" w:hRule="atLeast"/>
        </w:trPr>
        <w:tc>
          <w:tcPr>
            <w:tcW w:w="116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30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成本指标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慈善项目对接和项目引进</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6.43</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6.43</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16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项目效果指标</w:t>
            </w:r>
          </w:p>
        </w:tc>
        <w:tc>
          <w:tcPr>
            <w:tcW w:w="130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经济效益</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仿宋_GB2312" w:eastAsia="仿宋_GB2312" w:cs="仿宋_GB2312"/>
                <w:color w:val="000000"/>
                <w:sz w:val="24"/>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1310" w:hRule="atLeast"/>
        </w:trPr>
        <w:tc>
          <w:tcPr>
            <w:tcW w:w="116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30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社会效益</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惠及广元困难群众，以慈善的补充作用，促进实施一批项目。</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与发达地区慈善组织建立合作机制、深化东西部协作，惠及广元困难群众。</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通过深化项目合作、搭建互动平台，惠及广元困难群众4万余人。</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480" w:hRule="atLeast"/>
        </w:trPr>
        <w:tc>
          <w:tcPr>
            <w:tcW w:w="116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231"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满意度</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w:t>
            </w:r>
          </w:p>
        </w:tc>
        <w:tc>
          <w:tcPr>
            <w:tcW w:w="130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满意度指标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困难群众满意度</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≧100%</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≧100%</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bl>
    <w:p>
      <w:pPr>
        <w:pStyle w:val="2"/>
        <w:rPr>
          <w:rFonts w:hint="eastAsia" w:ascii="仿宋_GB2312" w:hAnsi="仿宋_GB2312" w:eastAsia="仿宋_GB2312" w:cs="仿宋_GB2312"/>
          <w:sz w:val="32"/>
          <w:szCs w:val="32"/>
          <w:lang w:val="zh-CN"/>
        </w:rPr>
      </w:pPr>
    </w:p>
    <w:p>
      <w:pPr>
        <w:pStyle w:val="2"/>
        <w:rPr>
          <w:rFonts w:hint="eastAsia" w:ascii="仿宋_GB2312" w:hAnsi="仿宋_GB2312" w:eastAsia="仿宋_GB2312" w:cs="仿宋_GB2312"/>
          <w:sz w:val="32"/>
          <w:szCs w:val="32"/>
          <w:lang w:val="zh-CN"/>
        </w:rPr>
      </w:pPr>
    </w:p>
    <w:p>
      <w:pPr>
        <w:pStyle w:val="2"/>
        <w:rPr>
          <w:rFonts w:hint="eastAsia" w:ascii="仿宋_GB2312" w:hAnsi="仿宋_GB2312" w:eastAsia="仿宋_GB2312" w:cs="仿宋_GB2312"/>
          <w:sz w:val="32"/>
          <w:szCs w:val="32"/>
          <w:lang w:val="zh-CN"/>
        </w:rPr>
      </w:pPr>
    </w:p>
    <w:p>
      <w:pPr>
        <w:pStyle w:val="2"/>
        <w:rPr>
          <w:rFonts w:hint="eastAsia" w:ascii="仿宋_GB2312" w:hAnsi="仿宋_GB2312" w:eastAsia="仿宋_GB2312" w:cs="仿宋_GB2312"/>
          <w:sz w:val="32"/>
          <w:szCs w:val="32"/>
          <w:lang w:val="zh-CN"/>
        </w:rPr>
      </w:pPr>
    </w:p>
    <w:p>
      <w:pPr>
        <w:pStyle w:val="2"/>
        <w:rPr>
          <w:rFonts w:hint="eastAsia" w:ascii="仿宋_GB2312" w:hAnsi="仿宋_GB2312" w:eastAsia="仿宋_GB2312" w:cs="仿宋_GB2312"/>
          <w:sz w:val="32"/>
          <w:szCs w:val="32"/>
          <w:lang w:val="zh-CN"/>
        </w:rPr>
      </w:pPr>
    </w:p>
    <w:p>
      <w:pPr>
        <w:pStyle w:val="36"/>
        <w:keepNext w:val="0"/>
        <w:keepLines w:val="0"/>
        <w:pageBreakBefore w:val="0"/>
        <w:widowControl w:val="0"/>
        <w:kinsoku/>
        <w:wordWrap/>
        <w:overflowPunct/>
        <w:topLinePunct w:val="0"/>
        <w:autoSpaceDE/>
        <w:autoSpaceDN/>
        <w:bidi w:val="0"/>
        <w:spacing w:line="576" w:lineRule="exact"/>
        <w:jc w:val="center"/>
        <w:textAlignment w:val="auto"/>
        <w:rPr>
          <w:rFonts w:hint="eastAsia" w:ascii="黑体" w:hAnsi="黑体" w:eastAsia="黑体" w:cs="黑体"/>
          <w:sz w:val="32"/>
          <w:szCs w:val="32"/>
          <w:shd w:val="clear" w:color="auto" w:fill="FFFFFF"/>
        </w:rPr>
      </w:pPr>
    </w:p>
    <w:p>
      <w:pPr>
        <w:pStyle w:val="36"/>
        <w:keepNext w:val="0"/>
        <w:keepLines w:val="0"/>
        <w:pageBreakBefore w:val="0"/>
        <w:widowControl w:val="0"/>
        <w:kinsoku/>
        <w:wordWrap/>
        <w:overflowPunct/>
        <w:topLinePunct w:val="0"/>
        <w:autoSpaceDE/>
        <w:autoSpaceDN/>
        <w:bidi w:val="0"/>
        <w:spacing w:line="576" w:lineRule="exact"/>
        <w:jc w:val="center"/>
        <w:textAlignment w:val="auto"/>
        <w:rPr>
          <w:rFonts w:hint="eastAsia" w:ascii="黑体" w:hAnsi="黑体" w:eastAsia="黑体" w:cs="黑体"/>
          <w:color w:val="auto"/>
          <w:kern w:val="2"/>
          <w:sz w:val="32"/>
          <w:szCs w:val="32"/>
        </w:rPr>
      </w:pPr>
      <w:r>
        <w:rPr>
          <w:rFonts w:hint="eastAsia" w:ascii="黑体" w:hAnsi="黑体" w:eastAsia="黑体" w:cs="黑体"/>
          <w:sz w:val="32"/>
          <w:szCs w:val="32"/>
          <w:shd w:val="clear" w:color="auto" w:fill="FFFFFF"/>
        </w:rPr>
        <w:t>202</w:t>
      </w:r>
      <w:r>
        <w:rPr>
          <w:rFonts w:hint="eastAsia" w:ascii="黑体" w:hAnsi="黑体" w:eastAsia="黑体" w:cs="黑体"/>
          <w:sz w:val="32"/>
          <w:szCs w:val="32"/>
          <w:shd w:val="clear" w:color="auto" w:fill="FFFFFF"/>
          <w:lang w:val="en-US"/>
        </w:rPr>
        <w:t>1</w:t>
      </w:r>
      <w:r>
        <w:rPr>
          <w:rFonts w:hint="eastAsia" w:ascii="黑体" w:hAnsi="黑体" w:eastAsia="黑体" w:cs="黑体"/>
          <w:sz w:val="32"/>
          <w:szCs w:val="32"/>
          <w:shd w:val="clear" w:color="auto" w:fill="FFFFFF"/>
        </w:rPr>
        <w:t>年</w:t>
      </w:r>
      <w:r>
        <w:rPr>
          <w:rFonts w:hint="eastAsia" w:ascii="黑体" w:hAnsi="黑体" w:eastAsia="黑体" w:cs="黑体"/>
          <w:sz w:val="32"/>
          <w:szCs w:val="32"/>
          <w:shd w:val="clear" w:color="auto" w:fill="FFFFFF"/>
          <w:lang w:val="en-US"/>
        </w:rPr>
        <w:t>重大疾病慈善救助</w:t>
      </w:r>
      <w:r>
        <w:rPr>
          <w:rFonts w:hint="eastAsia" w:ascii="黑体" w:hAnsi="黑体" w:eastAsia="黑体" w:cs="黑体"/>
          <w:sz w:val="32"/>
          <w:szCs w:val="32"/>
          <w:shd w:val="clear" w:color="auto" w:fill="FFFFFF"/>
        </w:rPr>
        <w:t>项目绩效自评报告</w:t>
      </w:r>
    </w:p>
    <w:p>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一、项目概况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项目主管部门（单位）在该项目管理中的职能。</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为建立健全重大疾病救助机制，充分发挥慈善事业在社会保障体系中的补充作用，切实帮助重大疾病困难群众缓解“因病致贫、因病返贫”的问题，对具有广元市户籍，家庭无主要劳动力或主要劳动力生产生活能力基本丧失的困难家庭的重大疾病患者、广元市户籍突发重大疾病，治疗费用巨大，家庭陷入特殊困难的患者和低保家庭重大疾病患者给予一次性救助。</w:t>
      </w:r>
      <w:r>
        <w:rPr>
          <w:rFonts w:hint="eastAsia" w:ascii="仿宋_GB2312" w:hAnsi="仿宋_GB2312" w:eastAsia="仿宋_GB2312" w:cs="仿宋_GB2312"/>
          <w:sz w:val="32"/>
          <w:szCs w:val="32"/>
        </w:rPr>
        <w:t>本单位在项目管理的职责包括具体实施、指导培训、监督检查等。</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项目立项、资金申报的依据。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项目立项、资金申报的依据主要是本单位职能职责及年度工作计划。</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资金管理办法制定情况，资金支持具体项目的条件、范围与支持方式概况。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本项目主要是工作经费，按照财政资金相关管理办法和要求执行。资金支持具体项目的条件是根据部门工作计划要求安排。财政全额支持。</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t>资金分配的原则及考虑因素。</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项目资金全部由本单位使用，根据项目具体实施内容匹配资金。</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项目主要内容。</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主要内容为对具有广元市户籍，家庭无主要劳动力或主要劳动力生产生活能力基本丧失的困难家庭的重大疾病患者、广元市户籍突发重大疾病，治疗费用巨大，家庭陷入特殊困难的患者和低保家庭重大疾病患者给予一次性救助。</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项目应实现的具体绩效目标，包括目标的量化、细化情况以及项目实施进度计划等。</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项目申请时依据项目实际情况明确了具体的绩效目标：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数量指标:按照3000-5000元/人标准，救助重大疾病患者人数130人。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质量指标：救助成功，缓解家庭困难群众看病难问题，防止困难群众“因病致贫、因病返贫”。</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时效指标:2021年12月31日前完成。</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成本指标：救助资金50万元。</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社会效益指标：惠及困难患者，对重大疾病患者给予一定的救助，缓解因病导致的经济压力，体现党和政府的温暖。</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满意度指标：重大疾病患者满意度≧100%。</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项目制定了详细可行的进度计划，确保了项目顺利实施。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分析评价申报内容是否与实际相符，申报目标是否合理可行。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绩效自评结果表明，项目</w:t>
      </w:r>
      <w:r>
        <w:rPr>
          <w:rFonts w:hint="eastAsia" w:ascii="仿宋_GB2312" w:hAnsi="仿宋_GB2312" w:eastAsia="仿宋_GB2312" w:cs="仿宋_GB2312"/>
          <w:sz w:val="32"/>
          <w:szCs w:val="32"/>
          <w:lang w:val="zh-CN"/>
        </w:rPr>
        <w:t>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（三）项目自评步骤及方法</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我单位对此次自评工作高度重视，成立了绩效评价工作小组，按照下列程序实施：</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分解任务：根据部门支出绩效评价涉及的工作内容，分解到各科室；</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科室初评：业务科室根据计分标准对各自负责的工作逐一检查，翻阅资料，对标自评；</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小组复评：绩效评价工作小组对初评情况进行检查，并再次评价；</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整理上报：对自评情况进行梳理，及时上报财政部门，并对存在的问题落实整改。</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本项目资金是年初纳入部门预算申报并获得批复，无预算调整。</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（二）资金计划、到位及使用情况如下：</w:t>
      </w:r>
    </w:p>
    <w:tbl>
      <w:tblPr>
        <w:tblStyle w:val="12"/>
        <w:tblW w:w="9529" w:type="dxa"/>
        <w:tblInd w:w="0" w:type="dxa"/>
        <w:tblLayout w:type="autofit"/>
        <w:tblCellMar>
          <w:top w:w="0" w:type="dxa"/>
          <w:left w:w="0" w:type="dxa"/>
          <w:bottom w:w="0" w:type="dxa"/>
          <w:right w:w="0" w:type="dxa"/>
        </w:tblCellMar>
      </w:tblPr>
      <w:tblGrid>
        <w:gridCol w:w="3250"/>
        <w:gridCol w:w="2221"/>
        <w:gridCol w:w="2053"/>
        <w:gridCol w:w="2005"/>
      </w:tblGrid>
      <w:tr>
        <w:tblPrEx>
          <w:tblCellMar>
            <w:top w:w="0" w:type="dxa"/>
            <w:left w:w="0" w:type="dxa"/>
            <w:bottom w:w="0" w:type="dxa"/>
            <w:right w:w="0" w:type="dxa"/>
          </w:tblCellMar>
        </w:tblPrEx>
        <w:trPr>
          <w:trHeight w:val="420" w:hRule="atLeast"/>
        </w:trPr>
        <w:tc>
          <w:tcPr>
            <w:tcW w:w="325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项目名称</w:t>
            </w:r>
          </w:p>
        </w:tc>
        <w:tc>
          <w:tcPr>
            <w:tcW w:w="2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资金预算（元）</w:t>
            </w:r>
          </w:p>
        </w:tc>
        <w:tc>
          <w:tcPr>
            <w:tcW w:w="2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资金到位（元）</w:t>
            </w:r>
          </w:p>
        </w:tc>
        <w:tc>
          <w:tcPr>
            <w:tcW w:w="2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资金使用（元）</w:t>
            </w:r>
          </w:p>
        </w:tc>
      </w:tr>
      <w:tr>
        <w:tblPrEx>
          <w:tblCellMar>
            <w:top w:w="0" w:type="dxa"/>
            <w:left w:w="0" w:type="dxa"/>
            <w:bottom w:w="0" w:type="dxa"/>
            <w:right w:w="0" w:type="dxa"/>
          </w:tblCellMar>
        </w:tblPrEx>
        <w:trPr>
          <w:trHeight w:val="420" w:hRule="atLeast"/>
        </w:trPr>
        <w:tc>
          <w:tcPr>
            <w:tcW w:w="325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sz w:val="30"/>
                <w:szCs w:val="30"/>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财政资金</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财政资金</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财政资金</w:t>
            </w:r>
          </w:p>
        </w:tc>
      </w:tr>
      <w:tr>
        <w:tblPrEx>
          <w:tblCellMar>
            <w:top w:w="0" w:type="dxa"/>
            <w:left w:w="0" w:type="dxa"/>
            <w:bottom w:w="0" w:type="dxa"/>
            <w:right w:w="0" w:type="dxa"/>
          </w:tblCellMar>
        </w:tblPrEx>
        <w:trPr>
          <w:trHeight w:val="460" w:hRule="atLeast"/>
        </w:trPr>
        <w:tc>
          <w:tcPr>
            <w:tcW w:w="3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重大疾病慈善救助</w:t>
            </w:r>
          </w:p>
        </w:tc>
        <w:tc>
          <w:tcPr>
            <w:tcW w:w="2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500000</w:t>
            </w:r>
          </w:p>
        </w:tc>
        <w:tc>
          <w:tcPr>
            <w:tcW w:w="2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500000</w:t>
            </w:r>
          </w:p>
        </w:tc>
        <w:tc>
          <w:tcPr>
            <w:tcW w:w="2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500000</w:t>
            </w:r>
          </w:p>
        </w:tc>
      </w:tr>
    </w:tbl>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1．资金计划。</w:t>
      </w:r>
      <w:r>
        <w:rPr>
          <w:rFonts w:hint="eastAsia" w:ascii="仿宋_GB2312" w:hAnsi="仿宋_GB2312" w:eastAsia="仿宋_GB2312" w:cs="仿宋_GB2312"/>
          <w:sz w:val="32"/>
          <w:szCs w:val="32"/>
        </w:rPr>
        <w:t>项目资金计划500000元，均为财政资金。</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2．资金到位。资金到位率</w:t>
      </w:r>
      <w:r>
        <w:rPr>
          <w:rFonts w:hint="eastAsia" w:ascii="仿宋_GB2312" w:hAnsi="仿宋_GB2312" w:eastAsia="仿宋_GB2312" w:cs="仿宋_GB2312"/>
          <w:sz w:val="32"/>
          <w:szCs w:val="32"/>
        </w:rPr>
        <w:t>100%，</w:t>
      </w:r>
      <w:r>
        <w:rPr>
          <w:rFonts w:hint="eastAsia" w:ascii="仿宋_GB2312" w:hAnsi="仿宋_GB2312" w:eastAsia="仿宋_GB2312" w:cs="仿宋_GB2312"/>
          <w:sz w:val="32"/>
          <w:szCs w:val="32"/>
          <w:lang w:val="zh-CN"/>
        </w:rPr>
        <w:t>到位及时率</w:t>
      </w:r>
      <w:r>
        <w:rPr>
          <w:rFonts w:hint="eastAsia" w:ascii="仿宋_GB2312" w:hAnsi="仿宋_GB2312" w:eastAsia="仿宋_GB2312" w:cs="仿宋_GB2312"/>
          <w:sz w:val="32"/>
          <w:szCs w:val="32"/>
        </w:rPr>
        <w:t>100%.</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3．资金使用。资金支出</w:t>
      </w:r>
      <w:r>
        <w:rPr>
          <w:rFonts w:hint="eastAsia" w:ascii="仿宋_GB2312" w:hAnsi="仿宋_GB2312" w:eastAsia="仿宋_GB2312" w:cs="仿宋_GB2312"/>
          <w:sz w:val="32"/>
          <w:szCs w:val="32"/>
        </w:rPr>
        <w:t>500000元，</w:t>
      </w:r>
      <w:r>
        <w:rPr>
          <w:rFonts w:hint="eastAsia" w:ascii="仿宋_GB2312" w:hAnsi="仿宋_GB2312" w:eastAsia="仿宋_GB2312" w:cs="仿宋_GB2312"/>
          <w:sz w:val="32"/>
          <w:szCs w:val="32"/>
          <w:lang w:val="zh-CN"/>
        </w:rPr>
        <w:t>资金使用安全、规范、效果显著。资金支付范围</w:t>
      </w:r>
      <w:r>
        <w:rPr>
          <w:rFonts w:hint="eastAsia" w:ascii="仿宋_GB2312" w:hAnsi="仿宋_GB2312" w:eastAsia="仿宋_GB2312" w:cs="仿宋_GB2312"/>
          <w:sz w:val="32"/>
          <w:szCs w:val="32"/>
        </w:rPr>
        <w:t>全部用于全市130名重大疾病患者发放救助金</w:t>
      </w:r>
      <w:r>
        <w:rPr>
          <w:rFonts w:hint="eastAsia" w:ascii="仿宋_GB2312" w:hAnsi="仿宋_GB2312" w:eastAsia="仿宋_GB2312" w:cs="仿宋_GB2312"/>
          <w:sz w:val="32"/>
          <w:szCs w:val="32"/>
          <w:lang w:val="zh-CN"/>
        </w:rPr>
        <w:t>。支付标准均按照财政资金管理限额（标准）执行，支付标准为</w:t>
      </w:r>
      <w:r>
        <w:rPr>
          <w:rFonts w:hint="eastAsia" w:ascii="仿宋_GB2312" w:hAnsi="仿宋_GB2312" w:eastAsia="仿宋_GB2312" w:cs="仿宋_GB2312"/>
          <w:sz w:val="32"/>
          <w:szCs w:val="32"/>
        </w:rPr>
        <w:t>3000-5000元/人</w:t>
      </w:r>
      <w:r>
        <w:rPr>
          <w:rFonts w:hint="eastAsia" w:ascii="仿宋_GB2312" w:hAnsi="仿宋_GB2312" w:eastAsia="仿宋_GB2312" w:cs="仿宋_GB2312"/>
          <w:sz w:val="32"/>
          <w:szCs w:val="32"/>
          <w:lang w:val="zh-CN"/>
        </w:rPr>
        <w:t>。根据项目实施进度支付款项，支付依据合规合法，支出金额与预算相符。</w:t>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（三）项目财务管理情况</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本单位财务管理制度健全，严格执行财务管理制度，账务处理及时，会计核算规范。</w:t>
      </w:r>
    </w:p>
    <w:p>
      <w:pPr>
        <w:adjustRightInd w:val="0"/>
        <w:snapToGrid w:val="0"/>
        <w:spacing w:line="560"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zh-CN"/>
        </w:rPr>
        <w:t>三、项目实施及管理情况</w:t>
      </w:r>
    </w:p>
    <w:p>
      <w:pPr>
        <w:adjustRightInd w:val="0"/>
        <w:snapToGrid w:val="0"/>
        <w:spacing w:line="560" w:lineRule="exact"/>
        <w:ind w:firstLine="640" w:firstLineChars="200"/>
        <w:rPr>
          <w:rFonts w:hint="eastAsia" w:ascii="仿宋_GB2312" w:hAnsi="仿宋_GB2312" w:eastAsia="仿宋_GB2312" w:cs="仿宋_GB2312"/>
          <w:b/>
          <w:sz w:val="32"/>
          <w:szCs w:val="32"/>
          <w:lang w:val="zh-CN"/>
        </w:rPr>
      </w:pPr>
      <w:r>
        <w:rPr>
          <w:rFonts w:hint="eastAsia" w:ascii="楷体_GB2312" w:hAnsi="楷体_GB2312" w:eastAsia="楷体_GB2312" w:cs="楷体_GB2312"/>
          <w:bCs/>
          <w:sz w:val="32"/>
          <w:szCs w:val="32"/>
          <w:lang w:val="zh-CN"/>
        </w:rPr>
        <w:t>（一）</w:t>
      </w:r>
      <w:r>
        <w:rPr>
          <w:rFonts w:hint="eastAsia" w:ascii="楷体_GB2312" w:hAnsi="楷体_GB2312" w:eastAsia="楷体_GB2312" w:cs="楷体_GB2312"/>
          <w:sz w:val="32"/>
          <w:szCs w:val="32"/>
          <w:lang w:val="zh-CN"/>
        </w:rPr>
        <w:t>项目组织架构及实施流程。</w:t>
      </w:r>
      <w:r>
        <w:rPr>
          <w:rFonts w:hint="eastAsia" w:ascii="仿宋_GB2312" w:hAnsi="仿宋_GB2312" w:eastAsia="仿宋_GB2312" w:cs="仿宋_GB2312"/>
          <w:sz w:val="32"/>
          <w:szCs w:val="32"/>
          <w:lang w:val="zh-CN"/>
        </w:rPr>
        <w:t>我单位成立了项目领导小组负责项目统筹安排及管理，安排专人具体负责实施。</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楷体_GB2312" w:hAnsi="楷体_GB2312" w:eastAsia="楷体_GB2312" w:cs="楷体_GB2312"/>
          <w:bCs/>
          <w:sz w:val="32"/>
          <w:szCs w:val="32"/>
          <w:lang w:val="zh-CN"/>
        </w:rPr>
        <w:t>（二）项目管理情况。</w:t>
      </w:r>
      <w:r>
        <w:rPr>
          <w:rFonts w:hint="eastAsia" w:ascii="仿宋_GB2312" w:hAnsi="仿宋_GB2312" w:eastAsia="仿宋_GB2312" w:cs="仿宋_GB2312"/>
          <w:sz w:val="32"/>
          <w:szCs w:val="32"/>
          <w:lang w:val="zh-CN"/>
        </w:rPr>
        <w:t>我单位严格执行相关法律法规及项目管理制度，管理有序，质量较高，取得了良好的效果。</w:t>
      </w:r>
    </w:p>
    <w:p>
      <w:pPr>
        <w:adjustRightInd w:val="0"/>
        <w:snapToGrid w:val="0"/>
        <w:spacing w:line="560" w:lineRule="exact"/>
        <w:ind w:firstLine="720"/>
        <w:rPr>
          <w:rFonts w:hint="eastAsia" w:ascii="仿宋_GB2312" w:hAnsi="仿宋_GB2312" w:eastAsia="仿宋_GB2312" w:cs="仿宋_GB2312"/>
          <w:sz w:val="32"/>
          <w:szCs w:val="32"/>
          <w:lang w:val="zh-CN"/>
        </w:rPr>
      </w:pPr>
      <w:r>
        <w:rPr>
          <w:rFonts w:hint="eastAsia" w:ascii="楷体_GB2312" w:hAnsi="楷体_GB2312" w:eastAsia="楷体_GB2312" w:cs="楷体_GB2312"/>
          <w:bCs/>
          <w:sz w:val="32"/>
          <w:szCs w:val="32"/>
          <w:lang w:val="zh-CN"/>
        </w:rPr>
        <w:t>（三）项目监管情况。</w:t>
      </w:r>
      <w:r>
        <w:rPr>
          <w:rFonts w:hint="eastAsia" w:ascii="仿宋_GB2312" w:hAnsi="仿宋_GB2312" w:eastAsia="仿宋_GB2312" w:cs="仿宋_GB2312"/>
          <w:sz w:val="32"/>
          <w:szCs w:val="32"/>
          <w:lang w:val="zh-CN"/>
        </w:rPr>
        <w:t>我单位项目主要是工作经费，费用支出经过逐级审核，项目实施中纪检部门进行监管，按照单位内控控制制度实施监管，有力的促进了项目顺利实施，圆满完成，监管效果良好。</w:t>
      </w:r>
    </w:p>
    <w:p>
      <w:pPr>
        <w:adjustRightInd w:val="0"/>
        <w:snapToGrid w:val="0"/>
        <w:spacing w:line="560"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zh-CN"/>
        </w:rPr>
        <w:t>四、项目绩效情况</w:t>
      </w:r>
      <w:r>
        <w:rPr>
          <w:rFonts w:hint="eastAsia" w:ascii="黑体" w:hAnsi="黑体" w:eastAsia="黑体" w:cs="黑体"/>
          <w:sz w:val="32"/>
          <w:szCs w:val="32"/>
          <w:lang w:val="zh-CN"/>
        </w:rPr>
        <w:tab/>
      </w:r>
    </w:p>
    <w:p>
      <w:pPr>
        <w:adjustRightInd w:val="0"/>
        <w:snapToGrid w:val="0"/>
        <w:spacing w:line="560" w:lineRule="exact"/>
        <w:ind w:firstLine="640" w:firstLineChars="200"/>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（一）项目完成情况</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项目全部完成预期目标，按照预定的实施方案，由县区提供救助名单，所有资金全部及时到位发放至救助人员，全年救助重大疾病患者130人。均达到数量计划值，质量良好、按时完成、未超预算，无资金结余，无违规违纪情况。</w:t>
      </w:r>
      <w:r>
        <w:rPr>
          <w:rFonts w:hint="eastAsia" w:ascii="仿宋_GB2312" w:hAnsi="仿宋_GB2312" w:eastAsia="仿宋_GB2312" w:cs="仿宋_GB2312"/>
          <w:sz w:val="32"/>
          <w:szCs w:val="32"/>
        </w:rPr>
        <w:t xml:space="preserve">      </w:t>
      </w:r>
    </w:p>
    <w:p>
      <w:pPr>
        <w:adjustRightInd w:val="0"/>
        <w:snapToGrid w:val="0"/>
        <w:spacing w:line="560" w:lineRule="exact"/>
        <w:ind w:firstLine="640" w:firstLineChars="200"/>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（二）项目效益情况</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取得了良好的社会效益、可持续效益。对重大疾病患者给予一定的救助，缓解因病导致的经济压力，体现了党和政府的温暖。建立健全了重大疾病救助机制，解决困难群众“因病致贫、因病返贫”的问题。困难群众满意度达100%。</w:t>
      </w:r>
    </w:p>
    <w:p>
      <w:pPr>
        <w:adjustRightInd w:val="0"/>
        <w:snapToGrid w:val="0"/>
        <w:spacing w:line="560"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zh-CN"/>
        </w:rPr>
        <w:t>五、评价结论及建议</w:t>
      </w:r>
    </w:p>
    <w:p>
      <w:pPr>
        <w:adjustRightInd w:val="0"/>
        <w:snapToGrid w:val="0"/>
        <w:spacing w:line="560" w:lineRule="exact"/>
        <w:ind w:firstLine="640" w:firstLineChars="200"/>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（一）评价结论</w:t>
      </w:r>
    </w:p>
    <w:p>
      <w:pPr>
        <w:adjustRightInd w:val="0"/>
        <w:snapToGrid w:val="0"/>
        <w:spacing w:line="560" w:lineRule="exact"/>
        <w:ind w:firstLine="640" w:firstLineChars="200"/>
        <w:rPr>
          <w:rFonts w:hint="eastAsia" w:ascii="仿宋_GB2312" w:hAnsi="仿宋_GB2312" w:eastAsia="仿宋_GB2312" w:cs="仿宋_GB2312"/>
          <w:sz w:val="32"/>
          <w:szCs w:val="32"/>
          <w:bdr w:val="single" w:color="auto" w:sz="4" w:space="0"/>
        </w:rPr>
      </w:pPr>
      <w:r>
        <w:rPr>
          <w:rFonts w:hint="eastAsia" w:ascii="仿宋_GB2312" w:hAnsi="仿宋_GB2312" w:eastAsia="仿宋_GB2312" w:cs="仿宋_GB2312"/>
          <w:sz w:val="32"/>
          <w:szCs w:val="32"/>
        </w:rPr>
        <w:t>项目管理良好，实施有序，绩效显著。均达到了预期目标</w:t>
      </w:r>
      <w:r>
        <w:rPr>
          <w:rFonts w:hint="eastAsia" w:ascii="仿宋_GB2312" w:hAnsi="仿宋_GB2312" w:eastAsia="仿宋_GB2312" w:cs="仿宋_GB2312"/>
          <w:sz w:val="32"/>
          <w:szCs w:val="32"/>
          <w:lang w:val="zh-CN"/>
        </w:rPr>
        <w:t>。评价得分</w:t>
      </w:r>
      <w:r>
        <w:rPr>
          <w:rFonts w:hint="eastAsia" w:ascii="仿宋_GB2312" w:hAnsi="仿宋_GB2312" w:eastAsia="仿宋_GB2312" w:cs="仿宋_GB2312"/>
          <w:sz w:val="32"/>
          <w:szCs w:val="32"/>
        </w:rPr>
        <w:t>100分。</w:t>
      </w:r>
    </w:p>
    <w:p>
      <w:pPr>
        <w:adjustRightInd w:val="0"/>
        <w:snapToGrid w:val="0"/>
        <w:spacing w:line="560" w:lineRule="exact"/>
        <w:ind w:firstLine="640" w:firstLineChars="200"/>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（二）存在的问题</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无。</w:t>
      </w:r>
      <w:r>
        <w:rPr>
          <w:rFonts w:hint="eastAsia" w:ascii="仿宋_GB2312" w:hAnsi="仿宋_GB2312" w:eastAsia="仿宋_GB2312" w:cs="仿宋_GB2312"/>
          <w:sz w:val="32"/>
          <w:szCs w:val="32"/>
          <w:lang w:val="zh-CN"/>
        </w:rPr>
        <w:tab/>
      </w:r>
    </w:p>
    <w:p>
      <w:pPr>
        <w:adjustRightInd w:val="0"/>
        <w:snapToGrid w:val="0"/>
        <w:spacing w:line="560" w:lineRule="exact"/>
        <w:ind w:firstLine="640" w:firstLineChars="200"/>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（三）相关建议</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一是加强业务培训，进一步提高工作人员财政资金绩效意识；二是进一步细化项目预算，严格控制各项费用，过紧日子；三是今后对于财政资金项目，加大评价结果应用，真正做到“用钱必问效，无效必问责”。</w:t>
      </w:r>
    </w:p>
    <w:p>
      <w:pPr>
        <w:pStyle w:val="2"/>
        <w:jc w:val="center"/>
        <w:rPr>
          <w:rFonts w:hint="eastAsia" w:ascii="宋体" w:hAnsi="宋体" w:eastAsia="宋体" w:cs="宋体"/>
          <w:b/>
          <w:bCs/>
          <w:color w:val="000000"/>
          <w:kern w:val="0"/>
          <w:sz w:val="28"/>
          <w:szCs w:val="28"/>
          <w:lang w:val="en-US" w:eastAsia="zh-CN" w:bidi="ar"/>
        </w:rPr>
      </w:pPr>
    </w:p>
    <w:p>
      <w:pPr>
        <w:pStyle w:val="2"/>
        <w:jc w:val="center"/>
        <w:rPr>
          <w:rFonts w:hint="eastAsia" w:ascii="宋体" w:hAnsi="宋体" w:eastAsia="宋体" w:cs="宋体"/>
          <w:b/>
          <w:bCs/>
          <w:color w:val="000000"/>
          <w:kern w:val="0"/>
          <w:sz w:val="28"/>
          <w:szCs w:val="28"/>
          <w:lang w:val="en-US" w:eastAsia="zh-CN" w:bidi="ar"/>
        </w:rPr>
      </w:pPr>
    </w:p>
    <w:p>
      <w:pPr>
        <w:pStyle w:val="2"/>
        <w:jc w:val="center"/>
        <w:rPr>
          <w:rFonts w:hint="eastAsia" w:ascii="宋体" w:hAnsi="宋体" w:eastAsia="宋体" w:cs="宋体"/>
          <w:b/>
          <w:bCs/>
          <w:color w:val="000000"/>
          <w:kern w:val="0"/>
          <w:sz w:val="28"/>
          <w:szCs w:val="28"/>
          <w:lang w:val="en-US" w:eastAsia="zh-CN" w:bidi="ar"/>
        </w:rPr>
      </w:pPr>
    </w:p>
    <w:p>
      <w:pPr>
        <w:pStyle w:val="2"/>
        <w:jc w:val="center"/>
        <w:rPr>
          <w:rFonts w:hint="eastAsia" w:ascii="仿宋_GB2312" w:hAnsi="仿宋_GB2312" w:eastAsia="仿宋_GB2312" w:cs="仿宋_GB2312"/>
          <w:sz w:val="32"/>
          <w:szCs w:val="32"/>
          <w:lang w:val="zh-CN"/>
        </w:rPr>
      </w:pPr>
      <w:r>
        <w:rPr>
          <w:rFonts w:hint="eastAsia" w:ascii="宋体" w:hAnsi="宋体" w:eastAsia="宋体" w:cs="宋体"/>
          <w:b/>
          <w:bCs/>
          <w:color w:val="000000"/>
          <w:kern w:val="0"/>
          <w:sz w:val="28"/>
          <w:szCs w:val="28"/>
          <w:lang w:val="en-US" w:eastAsia="zh-CN" w:bidi="ar"/>
        </w:rPr>
        <w:t>2021年部门预算项目绩效目标</w:t>
      </w:r>
      <w:r>
        <w:rPr>
          <w:rFonts w:hint="eastAsia" w:ascii="宋体" w:hAnsi="宋体" w:eastAsia="宋体" w:cs="宋体"/>
          <w:b/>
          <w:bCs/>
          <w:color w:val="000000"/>
          <w:kern w:val="0"/>
          <w:sz w:val="28"/>
          <w:szCs w:val="28"/>
          <w:lang w:bidi="ar"/>
        </w:rPr>
        <w:t>自评表</w:t>
      </w:r>
    </w:p>
    <w:tbl>
      <w:tblPr>
        <w:tblStyle w:val="12"/>
        <w:tblW w:w="9950" w:type="dxa"/>
        <w:tblInd w:w="-5" w:type="dxa"/>
        <w:tblLayout w:type="autofit"/>
        <w:tblCellMar>
          <w:top w:w="0" w:type="dxa"/>
          <w:left w:w="108" w:type="dxa"/>
          <w:bottom w:w="0" w:type="dxa"/>
          <w:right w:w="108" w:type="dxa"/>
        </w:tblCellMar>
      </w:tblPr>
      <w:tblGrid>
        <w:gridCol w:w="1163"/>
        <w:gridCol w:w="1166"/>
        <w:gridCol w:w="1129"/>
        <w:gridCol w:w="1869"/>
        <w:gridCol w:w="1227"/>
        <w:gridCol w:w="1251"/>
        <w:gridCol w:w="2145"/>
      </w:tblGrid>
      <w:tr>
        <w:tblPrEx>
          <w:tblCellMar>
            <w:top w:w="0" w:type="dxa"/>
            <w:left w:w="108" w:type="dxa"/>
            <w:bottom w:w="0" w:type="dxa"/>
            <w:right w:w="108" w:type="dxa"/>
          </w:tblCellMar>
        </w:tblPrEx>
        <w:trPr>
          <w:trHeight w:val="360" w:hRule="atLeast"/>
        </w:trPr>
        <w:tc>
          <w:tcPr>
            <w:tcW w:w="31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项目名称</w:t>
            </w:r>
          </w:p>
        </w:tc>
        <w:tc>
          <w:tcPr>
            <w:tcW w:w="59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重大疾病慈善救助</w:t>
            </w:r>
          </w:p>
        </w:tc>
      </w:tr>
      <w:tr>
        <w:tblPrEx>
          <w:tblCellMar>
            <w:top w:w="0" w:type="dxa"/>
            <w:left w:w="108" w:type="dxa"/>
            <w:bottom w:w="0" w:type="dxa"/>
            <w:right w:w="108" w:type="dxa"/>
          </w:tblCellMar>
        </w:tblPrEx>
        <w:trPr>
          <w:trHeight w:val="360" w:hRule="atLeast"/>
        </w:trPr>
        <w:tc>
          <w:tcPr>
            <w:tcW w:w="31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主管单位</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市民政局</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实施单位</w:t>
            </w:r>
          </w:p>
        </w:tc>
        <w:tc>
          <w:tcPr>
            <w:tcW w:w="3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市慈善事业和社会工作发展中心</w:t>
            </w:r>
          </w:p>
        </w:tc>
      </w:tr>
      <w:tr>
        <w:tblPrEx>
          <w:tblCellMar>
            <w:top w:w="0" w:type="dxa"/>
            <w:left w:w="108" w:type="dxa"/>
            <w:bottom w:w="0" w:type="dxa"/>
            <w:right w:w="108" w:type="dxa"/>
          </w:tblCellMar>
        </w:tblPrEx>
        <w:trPr>
          <w:trHeight w:val="360" w:hRule="atLeast"/>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预算</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执行</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情况</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（万元）</w:t>
            </w:r>
          </w:p>
        </w:tc>
        <w:tc>
          <w:tcPr>
            <w:tcW w:w="2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预算数：</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执行数：</w:t>
            </w:r>
          </w:p>
        </w:tc>
        <w:tc>
          <w:tcPr>
            <w:tcW w:w="3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50</w:t>
            </w:r>
          </w:p>
        </w:tc>
      </w:tr>
      <w:tr>
        <w:tblPrEx>
          <w:tblCellMar>
            <w:top w:w="0" w:type="dxa"/>
            <w:left w:w="108" w:type="dxa"/>
            <w:bottom w:w="0" w:type="dxa"/>
            <w:right w:w="108" w:type="dxa"/>
          </w:tblCellMar>
        </w:tblPrEx>
        <w:trPr>
          <w:trHeight w:val="68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2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50</w:t>
            </w:r>
          </w:p>
        </w:tc>
        <w:tc>
          <w:tcPr>
            <w:tcW w:w="1124" w:type="dxa"/>
            <w:tcBorders>
              <w:top w:val="single" w:color="000000" w:sz="4" w:space="0"/>
              <w:left w:val="nil"/>
              <w:bottom w:val="nil"/>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3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50</w:t>
            </w:r>
          </w:p>
        </w:tc>
      </w:tr>
      <w:tr>
        <w:tblPrEx>
          <w:tblCellMar>
            <w:top w:w="0" w:type="dxa"/>
            <w:left w:w="108" w:type="dxa"/>
            <w:bottom w:w="0" w:type="dxa"/>
            <w:right w:w="108" w:type="dxa"/>
          </w:tblCellMar>
        </w:tblPrEx>
        <w:trPr>
          <w:trHeight w:val="68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2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其他资金</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124" w:type="dxa"/>
            <w:tcBorders>
              <w:top w:val="single" w:color="000000" w:sz="4" w:space="0"/>
              <w:left w:val="nil"/>
              <w:bottom w:val="nil"/>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其他资金</w:t>
            </w:r>
          </w:p>
        </w:tc>
        <w:tc>
          <w:tcPr>
            <w:tcW w:w="3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680" w:hRule="atLeast"/>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年度</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目标</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完成</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情况</w:t>
            </w:r>
          </w:p>
        </w:tc>
        <w:tc>
          <w:tcPr>
            <w:tcW w:w="38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预期目标</w:t>
            </w:r>
          </w:p>
        </w:tc>
        <w:tc>
          <w:tcPr>
            <w:tcW w:w="42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实际完成目标</w:t>
            </w:r>
          </w:p>
        </w:tc>
      </w:tr>
      <w:tr>
        <w:tblPrEx>
          <w:tblCellMar>
            <w:top w:w="0" w:type="dxa"/>
            <w:left w:w="108" w:type="dxa"/>
            <w:bottom w:w="0" w:type="dxa"/>
            <w:right w:w="108" w:type="dxa"/>
          </w:tblCellMar>
        </w:tblPrEx>
        <w:trPr>
          <w:trHeight w:val="270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3814"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为建立健全重大疾病救助机制，充分发挥慈善事业在社会保障体系中的补充作用，切实帮助重大疾病困难群众缓解“因病致贫、因病返贫”的问题，对具有广元市户籍，家庭无主要劳动力或主要劳动力生产生活能力基本丧失的困难家庭的重大疾病患者、广元市户籍突发重大疾病，治疗费用巨大，家庭陷入特殊困难的患者和低保家庭重大疾病患者给予一次性救助。</w:t>
            </w:r>
          </w:p>
        </w:tc>
        <w:tc>
          <w:tcPr>
            <w:tcW w:w="4235"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已按照3000-5000元/人标准，共计救助130名重大疾病患者。</w:t>
            </w:r>
          </w:p>
        </w:tc>
      </w:tr>
      <w:tr>
        <w:tblPrEx>
          <w:tblCellMar>
            <w:top w:w="0" w:type="dxa"/>
            <w:left w:w="108" w:type="dxa"/>
            <w:bottom w:w="0" w:type="dxa"/>
            <w:right w:w="108" w:type="dxa"/>
          </w:tblCellMar>
        </w:tblPrEx>
        <w:trPr>
          <w:trHeight w:val="780" w:hRule="atLeast"/>
        </w:trPr>
        <w:tc>
          <w:tcPr>
            <w:tcW w:w="1065"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年度</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绩效</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指标</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完成</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情况</w:t>
            </w:r>
          </w:p>
        </w:tc>
        <w:tc>
          <w:tcPr>
            <w:tcW w:w="1068"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一级指标</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二级指标</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三级指标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指标值（包含数字及文字描述）</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实际完成指标值（包含数字及文字描述）</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未完成原因及改进措施</w:t>
            </w:r>
          </w:p>
        </w:tc>
      </w:tr>
      <w:tr>
        <w:tblPrEx>
          <w:tblCellMar>
            <w:top w:w="0" w:type="dxa"/>
            <w:left w:w="108" w:type="dxa"/>
            <w:bottom w:w="0" w:type="dxa"/>
            <w:right w:w="108" w:type="dxa"/>
          </w:tblCellMar>
        </w:tblPrEx>
        <w:trPr>
          <w:trHeight w:val="600" w:hRule="atLeast"/>
        </w:trPr>
        <w:tc>
          <w:tcPr>
            <w:tcW w:w="10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03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数量指标</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救助重大疾病患者人数</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130人</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130人</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1740" w:hRule="atLeast"/>
        </w:trPr>
        <w:tc>
          <w:tcPr>
            <w:tcW w:w="10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3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质量指标</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救助成效</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缓解家庭困难群众看病难问题，防止困难群众“因病致贫、因病返贫”。</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按照预定的实施方案，由县区提供救助名单，所有资金全部及时到位发放至救助人员。</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480" w:hRule="atLeast"/>
        </w:trPr>
        <w:tc>
          <w:tcPr>
            <w:tcW w:w="10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3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时效指标</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完成时间</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2021年12月31日前</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已完成</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540" w:hRule="atLeast"/>
        </w:trPr>
        <w:tc>
          <w:tcPr>
            <w:tcW w:w="10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3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成本指标</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救助资金</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50</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10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项目效果指标</w:t>
            </w:r>
          </w:p>
        </w:tc>
        <w:tc>
          <w:tcPr>
            <w:tcW w:w="103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经济效益</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仿宋_GB2312" w:eastAsia="仿宋_GB2312" w:cs="仿宋_GB2312"/>
                <w:color w:val="000000"/>
                <w:sz w:val="24"/>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1310" w:hRule="atLeast"/>
        </w:trPr>
        <w:tc>
          <w:tcPr>
            <w:tcW w:w="10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3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社会效益</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惠及困难患者</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对重大疾病患者给予一定的救助，缓解因病导致的经济压力，体现党和政府的温暖。</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建立健全重大疾病救助机制，解决困难群众“因病致贫、因病返贫”的问题。</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610" w:hRule="atLeast"/>
        </w:trPr>
        <w:tc>
          <w:tcPr>
            <w:tcW w:w="10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3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生态效益</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仿宋_GB2312" w:eastAsia="仿宋_GB2312" w:cs="仿宋_GB2312"/>
                <w:color w:val="000000"/>
                <w:sz w:val="24"/>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600" w:hRule="atLeast"/>
        </w:trPr>
        <w:tc>
          <w:tcPr>
            <w:tcW w:w="10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3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可持续影响</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仿宋_GB2312" w:eastAsia="仿宋_GB2312" w:cs="仿宋_GB2312"/>
                <w:color w:val="000000"/>
                <w:sz w:val="24"/>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480" w:hRule="atLeast"/>
        </w:trPr>
        <w:tc>
          <w:tcPr>
            <w:tcW w:w="10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仿宋_GB2312" w:eastAsia="仿宋_GB2312" w:cs="仿宋_GB2312"/>
                <w:color w:val="000000"/>
                <w:sz w:val="24"/>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480" w:hRule="atLeast"/>
        </w:trPr>
        <w:tc>
          <w:tcPr>
            <w:tcW w:w="10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68"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满意度</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w:t>
            </w:r>
          </w:p>
        </w:tc>
        <w:tc>
          <w:tcPr>
            <w:tcW w:w="1034"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满意度指标</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重大疾病患者满意度</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≧100%</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bl>
    <w:p>
      <w:pPr>
        <w:pStyle w:val="2"/>
        <w:rPr>
          <w:rFonts w:hint="eastAsia" w:ascii="仿宋_GB2312" w:hAnsi="仿宋_GB2312" w:eastAsia="仿宋_GB2312" w:cs="仿宋_GB2312"/>
          <w:sz w:val="32"/>
          <w:szCs w:val="32"/>
          <w:lang w:val="zh-CN"/>
        </w:rPr>
      </w:pPr>
    </w:p>
    <w:p>
      <w:pPr>
        <w:pStyle w:val="2"/>
        <w:rPr>
          <w:rFonts w:hint="eastAsia"/>
          <w:lang w:val="zh-CN"/>
        </w:rPr>
      </w:pPr>
    </w:p>
    <w:p>
      <w:pPr>
        <w:pStyle w:val="2"/>
        <w:rPr>
          <w:rFonts w:hint="eastAsia"/>
        </w:rPr>
      </w:pPr>
    </w:p>
    <w:p>
      <w:pPr>
        <w:pStyle w:val="36"/>
        <w:spacing w:line="600" w:lineRule="exact"/>
        <w:jc w:val="center"/>
        <w:rPr>
          <w:rFonts w:hint="eastAsia" w:ascii="黑体" w:hAnsi="黑体" w:eastAsia="黑体" w:cs="黑体"/>
          <w:color w:val="auto"/>
          <w:kern w:val="2"/>
          <w:sz w:val="32"/>
          <w:szCs w:val="32"/>
        </w:rPr>
      </w:pPr>
      <w:r>
        <w:rPr>
          <w:rFonts w:hint="eastAsia" w:ascii="黑体" w:hAnsi="黑体" w:eastAsia="黑体" w:cs="黑体"/>
          <w:sz w:val="32"/>
          <w:szCs w:val="32"/>
          <w:shd w:val="clear" w:color="auto" w:fill="FFFFFF"/>
        </w:rPr>
        <w:t>202</w:t>
      </w:r>
      <w:r>
        <w:rPr>
          <w:rFonts w:hint="eastAsia" w:ascii="黑体" w:hAnsi="黑体" w:eastAsia="黑体" w:cs="黑体"/>
          <w:sz w:val="32"/>
          <w:szCs w:val="32"/>
          <w:shd w:val="clear" w:color="auto" w:fill="FFFFFF"/>
          <w:lang w:val="en-US"/>
        </w:rPr>
        <w:t>1</w:t>
      </w:r>
      <w:r>
        <w:rPr>
          <w:rFonts w:hint="eastAsia" w:ascii="黑体" w:hAnsi="黑体" w:eastAsia="黑体" w:cs="黑体"/>
          <w:sz w:val="32"/>
          <w:szCs w:val="32"/>
          <w:shd w:val="clear" w:color="auto" w:fill="FFFFFF"/>
        </w:rPr>
        <w:t>年</w:t>
      </w:r>
      <w:r>
        <w:rPr>
          <w:rFonts w:hint="eastAsia" w:ascii="黑体" w:hAnsi="黑体" w:eastAsia="黑体" w:cs="黑体"/>
          <w:sz w:val="32"/>
          <w:szCs w:val="32"/>
          <w:shd w:val="clear" w:color="auto" w:fill="FFFFFF"/>
          <w:lang w:val="en-US"/>
        </w:rPr>
        <w:t>慈善助学</w:t>
      </w:r>
      <w:r>
        <w:rPr>
          <w:rFonts w:hint="eastAsia" w:ascii="黑体" w:hAnsi="黑体" w:eastAsia="黑体" w:cs="黑体"/>
          <w:sz w:val="32"/>
          <w:szCs w:val="32"/>
          <w:shd w:val="clear" w:color="auto" w:fill="FFFFFF"/>
        </w:rPr>
        <w:t>项目绩效自评报告</w:t>
      </w:r>
    </w:p>
    <w:p>
      <w:pPr>
        <w:adjustRightInd w:val="0"/>
        <w:snapToGrid w:val="0"/>
        <w:spacing w:line="560" w:lineRule="exact"/>
        <w:rPr>
          <w:rFonts w:hint="eastAsia" w:ascii="仿宋_GB2312" w:hAnsi="仿宋_GB2312" w:eastAsia="仿宋_GB2312" w:cs="仿宋_GB2312"/>
          <w:sz w:val="32"/>
          <w:szCs w:val="32"/>
          <w:lang w:val="zh-CN"/>
        </w:rPr>
      </w:pPr>
    </w:p>
    <w:p>
      <w:pPr>
        <w:adjustRightInd w:val="0"/>
        <w:snapToGrid w:val="0"/>
        <w:spacing w:line="560"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zh-CN"/>
        </w:rPr>
        <w:t>一、项目概况</w:t>
      </w:r>
    </w:p>
    <w:p>
      <w:pPr>
        <w:adjustRightInd w:val="0"/>
        <w:snapToGrid w:val="0"/>
        <w:spacing w:line="560" w:lineRule="exact"/>
        <w:ind w:firstLine="640" w:firstLineChars="200"/>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（一）项目基本情况</w:t>
      </w:r>
    </w:p>
    <w:p>
      <w:pPr>
        <w:adjustRightInd w:val="0"/>
        <w:snapToGrid w:val="0"/>
        <w:spacing w:line="56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1．项目主管部门（单位）在该项目管理中的职能。</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为帮助我市困难家庭学生顺利完成学业，针对具有广元市户籍，参加2021年四川省普通高等学校招生考试，计划招生范围内被普通高等学校录取的困难家庭学生；参加2021年中考升入普通高中和职业高中的困难家庭学生。优先解决低保户子女、重残重病家庭子女、烈（军）属子女、残疾人子女、见义勇为者子女、孤儿（事实无人抚养儿童），并给予一次性救助。</w:t>
      </w:r>
      <w:r>
        <w:rPr>
          <w:rFonts w:hint="eastAsia" w:ascii="仿宋_GB2312" w:hAnsi="仿宋_GB2312" w:eastAsia="仿宋_GB2312" w:cs="仿宋_GB2312"/>
          <w:sz w:val="32"/>
          <w:szCs w:val="32"/>
        </w:rPr>
        <w:t>本单位在项目管理的职责包括指导培训、监督检查等。具体实施单位为市慈善事业和社会工作发展中心。</w:t>
      </w:r>
    </w:p>
    <w:p>
      <w:pPr>
        <w:numPr>
          <w:ilvl w:val="0"/>
          <w:numId w:val="2"/>
        </w:numPr>
        <w:adjustRightInd w:val="0"/>
        <w:snapToGrid w:val="0"/>
        <w:spacing w:line="56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项目立项、资金申报的依据。</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项目立项、资金申报的依据主要是本单位职能职责及年度工作计划。</w:t>
      </w:r>
    </w:p>
    <w:p>
      <w:pPr>
        <w:numPr>
          <w:ilvl w:val="0"/>
          <w:numId w:val="2"/>
        </w:numPr>
        <w:adjustRightInd w:val="0"/>
        <w:snapToGrid w:val="0"/>
        <w:spacing w:line="56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资金管理办法制定情况，资金支持具体项目的条件、范围与支持方式概况。</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本项目主要是工作经费，按照财政资金相关管理办法和要求执行。资金支持具体项目的条件是根据部门工作计划要求安排。财政全额支持。</w:t>
      </w:r>
    </w:p>
    <w:p>
      <w:pPr>
        <w:numPr>
          <w:ilvl w:val="0"/>
          <w:numId w:val="2"/>
        </w:numPr>
        <w:adjustRightInd w:val="0"/>
        <w:snapToGrid w:val="0"/>
        <w:spacing w:line="56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资金分配的原则及考虑因素。</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项目资金全部由本单位使用，根据项目具体实施内容匹配资金。</w:t>
      </w:r>
    </w:p>
    <w:p>
      <w:pPr>
        <w:adjustRightInd w:val="0"/>
        <w:snapToGrid w:val="0"/>
        <w:spacing w:line="560" w:lineRule="exact"/>
        <w:ind w:firstLine="640" w:firstLineChars="200"/>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（二）项目绩效目标</w:t>
      </w:r>
    </w:p>
    <w:p>
      <w:pPr>
        <w:adjustRightInd w:val="0"/>
        <w:snapToGrid w:val="0"/>
        <w:spacing w:line="56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1．项目主要内容。</w:t>
      </w:r>
    </w:p>
    <w:p>
      <w:pPr>
        <w:adjustRightInd w:val="0"/>
        <w:snapToGrid w:val="0"/>
        <w:spacing w:line="56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主要内容为具有广元市户籍，参加2021年四川省普通高等学校招生考试，计划招生范围内被普通高等学校录取的困难家庭学生；参加2021年中考升入普通高中和职业高中的困难家庭学生。优先解决低保户子女、重残重病家庭子女、烈（军）属子女、残疾人子女、见义勇为者子女、孤儿（事实无人抚养儿童），并给予一次性救助。</w:t>
      </w:r>
    </w:p>
    <w:p>
      <w:pPr>
        <w:adjustRightInd w:val="0"/>
        <w:snapToGrid w:val="0"/>
        <w:spacing w:line="56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2．项目应实现的具体绩效目标，包括目标的量化、细化情况以及项目实施进度计划等。</w:t>
      </w:r>
    </w:p>
    <w:p>
      <w:pPr>
        <w:adjustRightInd w:val="0"/>
        <w:snapToGrid w:val="0"/>
        <w:spacing w:line="56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项目申请时依据项目实际情况明确了具体的绩效目标：</w:t>
      </w:r>
    </w:p>
    <w:p>
      <w:pPr>
        <w:adjustRightInd w:val="0"/>
        <w:snapToGrid w:val="0"/>
        <w:spacing w:line="56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数量指标: 按照3000-5000元/人标准，资助贫困学生人数167人。</w:t>
      </w:r>
    </w:p>
    <w:p>
      <w:pPr>
        <w:adjustRightInd w:val="0"/>
        <w:snapToGrid w:val="0"/>
        <w:spacing w:line="56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质量指标：资助成功，确保困难家庭学生顺利完成学业。</w:t>
      </w:r>
    </w:p>
    <w:p>
      <w:pPr>
        <w:adjustRightInd w:val="0"/>
        <w:snapToGrid w:val="0"/>
        <w:spacing w:line="56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时效指标:2021年12月31日前完成。</w:t>
      </w:r>
    </w:p>
    <w:p>
      <w:pPr>
        <w:adjustRightInd w:val="0"/>
        <w:snapToGrid w:val="0"/>
        <w:spacing w:line="56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成本指标：助学金50万元。</w:t>
      </w:r>
    </w:p>
    <w:p>
      <w:pPr>
        <w:adjustRightInd w:val="0"/>
        <w:snapToGrid w:val="0"/>
        <w:spacing w:line="56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社会效益指标：慈善助学，帮助我市困难家庭学生顺利完成学业，成长成才，巩固脱贫攻坚成果，助力乡村振兴。</w:t>
      </w:r>
    </w:p>
    <w:p>
      <w:pPr>
        <w:adjustRightInd w:val="0"/>
        <w:snapToGrid w:val="0"/>
        <w:spacing w:line="56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满意度指标：贫困学生满意度≧100%。</w:t>
      </w:r>
    </w:p>
    <w:p>
      <w:pPr>
        <w:adjustRightInd w:val="0"/>
        <w:snapToGrid w:val="0"/>
        <w:spacing w:line="56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项目制定了详细可行的进度计划，确保了项目顺利实施。</w:t>
      </w:r>
    </w:p>
    <w:p>
      <w:pPr>
        <w:numPr>
          <w:ilvl w:val="0"/>
          <w:numId w:val="3"/>
        </w:numPr>
        <w:adjustRightInd w:val="0"/>
        <w:snapToGrid w:val="0"/>
        <w:spacing w:line="56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分析评价申报内容是否与实际相符，申报目标是否合理可行。</w:t>
      </w:r>
    </w:p>
    <w:p>
      <w:pPr>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绩效自评结果表明，项目</w:t>
      </w:r>
      <w:r>
        <w:rPr>
          <w:rFonts w:hint="eastAsia" w:ascii="仿宋_GB2312" w:hAnsi="仿宋_GB2312" w:eastAsia="仿宋_GB2312" w:cs="仿宋_GB2312"/>
          <w:sz w:val="32"/>
          <w:szCs w:val="32"/>
          <w:lang w:val="zh-CN"/>
        </w:rPr>
        <w:t>申报内容与实际相符，申报目标合理可行。</w:t>
      </w:r>
    </w:p>
    <w:p>
      <w:pPr>
        <w:adjustRightInd w:val="0"/>
        <w:snapToGrid w:val="0"/>
        <w:spacing w:line="560" w:lineRule="exact"/>
        <w:ind w:firstLine="640" w:firstLineChars="200"/>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（三）项目自评步骤及方法</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我单位对此次自评工作高度重视，成立了绩效评价工作小组，按照下列程序实施：</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分解任务：根据部门支出绩效评价涉及的工作内容，分解到各科室；</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科室初评：业务科室根据计分标准对各自负责的工作逐一检查，翻阅资料，对标自评；</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小组复评：绩效评价工作小组对初评情况进行检查，并再次评价；</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整理上报：对自评情况进行梳理，及时上报财政部门，并对存在的问题落实整改。</w:t>
      </w:r>
    </w:p>
    <w:p>
      <w:pPr>
        <w:adjustRightInd w:val="0"/>
        <w:snapToGrid w:val="0"/>
        <w:spacing w:line="560"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zh-CN"/>
        </w:rPr>
        <w:t>二、项目资金申报及使用情况</w:t>
      </w:r>
    </w:p>
    <w:p>
      <w:pPr>
        <w:adjustRightInd w:val="0"/>
        <w:snapToGrid w:val="0"/>
        <w:spacing w:line="560" w:lineRule="exact"/>
        <w:ind w:firstLine="640" w:firstLineChars="200"/>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（一）项目资金申报及批复情况</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本项目资金是年初纳入部门预算申报并获得批复，无预算调整。</w:t>
      </w:r>
    </w:p>
    <w:p>
      <w:pPr>
        <w:adjustRightInd w:val="0"/>
        <w:snapToGrid w:val="0"/>
        <w:spacing w:line="560" w:lineRule="exact"/>
        <w:ind w:firstLine="640" w:firstLineChars="200"/>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（二）资金计划、到位及使用情况如下：</w:t>
      </w:r>
    </w:p>
    <w:tbl>
      <w:tblPr>
        <w:tblStyle w:val="12"/>
        <w:tblW w:w="9529" w:type="dxa"/>
        <w:tblInd w:w="0" w:type="dxa"/>
        <w:tblLayout w:type="autofit"/>
        <w:tblCellMar>
          <w:top w:w="0" w:type="dxa"/>
          <w:left w:w="0" w:type="dxa"/>
          <w:bottom w:w="0" w:type="dxa"/>
          <w:right w:w="0" w:type="dxa"/>
        </w:tblCellMar>
      </w:tblPr>
      <w:tblGrid>
        <w:gridCol w:w="3250"/>
        <w:gridCol w:w="2221"/>
        <w:gridCol w:w="2053"/>
        <w:gridCol w:w="2005"/>
      </w:tblGrid>
      <w:tr>
        <w:tblPrEx>
          <w:tblCellMar>
            <w:top w:w="0" w:type="dxa"/>
            <w:left w:w="0" w:type="dxa"/>
            <w:bottom w:w="0" w:type="dxa"/>
            <w:right w:w="0" w:type="dxa"/>
          </w:tblCellMar>
        </w:tblPrEx>
        <w:trPr>
          <w:trHeight w:val="420" w:hRule="atLeast"/>
        </w:trPr>
        <w:tc>
          <w:tcPr>
            <w:tcW w:w="325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项目名称</w:t>
            </w:r>
          </w:p>
        </w:tc>
        <w:tc>
          <w:tcPr>
            <w:tcW w:w="2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资金预算（元）</w:t>
            </w:r>
          </w:p>
        </w:tc>
        <w:tc>
          <w:tcPr>
            <w:tcW w:w="2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资金到位（元）</w:t>
            </w:r>
          </w:p>
        </w:tc>
        <w:tc>
          <w:tcPr>
            <w:tcW w:w="2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资金使用（元）</w:t>
            </w:r>
          </w:p>
        </w:tc>
      </w:tr>
      <w:tr>
        <w:tblPrEx>
          <w:tblCellMar>
            <w:top w:w="0" w:type="dxa"/>
            <w:left w:w="0" w:type="dxa"/>
            <w:bottom w:w="0" w:type="dxa"/>
            <w:right w:w="0" w:type="dxa"/>
          </w:tblCellMar>
        </w:tblPrEx>
        <w:trPr>
          <w:trHeight w:val="420" w:hRule="atLeast"/>
        </w:trPr>
        <w:tc>
          <w:tcPr>
            <w:tcW w:w="325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sz w:val="30"/>
                <w:szCs w:val="30"/>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财政资金</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财政资金</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财政资金</w:t>
            </w:r>
          </w:p>
        </w:tc>
      </w:tr>
      <w:tr>
        <w:tblPrEx>
          <w:tblCellMar>
            <w:top w:w="0" w:type="dxa"/>
            <w:left w:w="0" w:type="dxa"/>
            <w:bottom w:w="0" w:type="dxa"/>
            <w:right w:w="0" w:type="dxa"/>
          </w:tblCellMar>
        </w:tblPrEx>
        <w:trPr>
          <w:trHeight w:val="460" w:hRule="atLeast"/>
        </w:trPr>
        <w:tc>
          <w:tcPr>
            <w:tcW w:w="3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lang w:bidi="ar"/>
              </w:rPr>
              <w:t>慈善助学</w:t>
            </w:r>
          </w:p>
        </w:tc>
        <w:tc>
          <w:tcPr>
            <w:tcW w:w="2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500000</w:t>
            </w:r>
          </w:p>
        </w:tc>
        <w:tc>
          <w:tcPr>
            <w:tcW w:w="2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500000</w:t>
            </w:r>
          </w:p>
        </w:tc>
        <w:tc>
          <w:tcPr>
            <w:tcW w:w="2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500000</w:t>
            </w:r>
          </w:p>
        </w:tc>
      </w:tr>
    </w:tbl>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1．资金计划。</w:t>
      </w:r>
      <w:r>
        <w:rPr>
          <w:rFonts w:hint="eastAsia" w:ascii="仿宋_GB2312" w:hAnsi="仿宋_GB2312" w:eastAsia="仿宋_GB2312" w:cs="仿宋_GB2312"/>
          <w:sz w:val="32"/>
          <w:szCs w:val="32"/>
        </w:rPr>
        <w:t>项目资金计划500000元，均为财政资金。</w:t>
      </w:r>
    </w:p>
    <w:p>
      <w:pPr>
        <w:adjustRightInd w:val="0"/>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CN"/>
        </w:rPr>
        <w:t>2．资金到位。资金到位率</w:t>
      </w:r>
      <w:r>
        <w:rPr>
          <w:rFonts w:hint="eastAsia" w:ascii="仿宋_GB2312" w:hAnsi="仿宋_GB2312" w:eastAsia="仿宋_GB2312" w:cs="仿宋_GB2312"/>
          <w:sz w:val="32"/>
          <w:szCs w:val="32"/>
        </w:rPr>
        <w:t>100%，</w:t>
      </w:r>
      <w:r>
        <w:rPr>
          <w:rFonts w:hint="eastAsia" w:ascii="仿宋_GB2312" w:hAnsi="仿宋_GB2312" w:eastAsia="仿宋_GB2312" w:cs="仿宋_GB2312"/>
          <w:sz w:val="32"/>
          <w:szCs w:val="32"/>
          <w:lang w:val="zh-CN"/>
        </w:rPr>
        <w:t>到位及时率</w:t>
      </w:r>
      <w:r>
        <w:rPr>
          <w:rFonts w:hint="eastAsia" w:ascii="仿宋_GB2312" w:hAnsi="仿宋_GB2312" w:eastAsia="仿宋_GB2312" w:cs="仿宋_GB2312"/>
          <w:sz w:val="32"/>
          <w:szCs w:val="32"/>
        </w:rPr>
        <w:t>100%</w:t>
      </w:r>
      <w:r>
        <w:rPr>
          <w:rFonts w:hint="eastAsia" w:ascii="仿宋_GB2312" w:hAnsi="仿宋_GB2312" w:eastAsia="仿宋_GB2312" w:cs="仿宋_GB2312"/>
          <w:sz w:val="32"/>
          <w:szCs w:val="32"/>
          <w:lang w:eastAsia="zh-CN"/>
        </w:rPr>
        <w:t>。</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3．资金使用。资金支出</w:t>
      </w:r>
      <w:r>
        <w:rPr>
          <w:rFonts w:hint="eastAsia" w:ascii="仿宋_GB2312" w:hAnsi="仿宋_GB2312" w:eastAsia="仿宋_GB2312" w:cs="仿宋_GB2312"/>
          <w:sz w:val="32"/>
          <w:szCs w:val="32"/>
        </w:rPr>
        <w:t>500000元，</w:t>
      </w:r>
      <w:r>
        <w:rPr>
          <w:rFonts w:hint="eastAsia" w:ascii="仿宋_GB2312" w:hAnsi="仿宋_GB2312" w:eastAsia="仿宋_GB2312" w:cs="仿宋_GB2312"/>
          <w:sz w:val="32"/>
          <w:szCs w:val="32"/>
          <w:lang w:val="zh-CN"/>
        </w:rPr>
        <w:t>资金使用安全、规范、效果显著。资金支付范围</w:t>
      </w:r>
      <w:r>
        <w:rPr>
          <w:rFonts w:hint="eastAsia" w:ascii="仿宋_GB2312" w:hAnsi="仿宋_GB2312" w:eastAsia="仿宋_GB2312" w:cs="仿宋_GB2312"/>
          <w:sz w:val="32"/>
          <w:szCs w:val="32"/>
        </w:rPr>
        <w:t>全部用于广元市户籍参加2021年四川省普通高等学校招生考试，计划招生范围内被普通高等学校录取的困难家庭学生；参加2021年中考升入普通高中和职业高中的困难家庭学生。</w:t>
      </w:r>
      <w:r>
        <w:rPr>
          <w:rFonts w:hint="eastAsia" w:ascii="仿宋_GB2312" w:hAnsi="仿宋_GB2312" w:eastAsia="仿宋_GB2312" w:cs="仿宋_GB2312"/>
          <w:sz w:val="32"/>
          <w:szCs w:val="32"/>
          <w:lang w:val="zh-CN"/>
        </w:rPr>
        <w:t>支付标准均按照财政资金管理限额（标准）执行，资助标准3000元/人。根据项目实施进度支付款项，支付依据合规合法，支出金额与预算相符。</w:t>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（三）项目财务管理情况</w:t>
      </w:r>
    </w:p>
    <w:p>
      <w:pPr>
        <w:adjustRightInd w:val="0"/>
        <w:snapToGrid w:val="0"/>
        <w:spacing w:line="56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本单位财务管理制度健全，严格执行财务管理制度，账务处理及时，会计核算规范。</w:t>
      </w:r>
    </w:p>
    <w:p>
      <w:pPr>
        <w:adjustRightInd w:val="0"/>
        <w:snapToGrid w:val="0"/>
        <w:spacing w:line="560" w:lineRule="exact"/>
        <w:ind w:firstLine="720"/>
        <w:rPr>
          <w:rFonts w:hint="eastAsia" w:ascii="黑体" w:hAnsi="黑体" w:eastAsia="黑体" w:cs="黑体"/>
          <w:sz w:val="32"/>
          <w:szCs w:val="32"/>
          <w:lang w:val="zh-CN"/>
        </w:rPr>
      </w:pPr>
      <w:r>
        <w:rPr>
          <w:rFonts w:hint="eastAsia" w:ascii="黑体" w:hAnsi="黑体" w:eastAsia="黑体" w:cs="黑体"/>
          <w:sz w:val="32"/>
          <w:szCs w:val="32"/>
          <w:lang w:val="zh-CN"/>
        </w:rPr>
        <w:t>三、项目实施及管理情况</w:t>
      </w:r>
    </w:p>
    <w:p>
      <w:pPr>
        <w:adjustRightInd w:val="0"/>
        <w:snapToGrid w:val="0"/>
        <w:spacing w:line="560" w:lineRule="exact"/>
        <w:ind w:firstLine="720"/>
        <w:rPr>
          <w:rFonts w:hint="eastAsia" w:ascii="仿宋_GB2312" w:hAnsi="仿宋_GB2312" w:eastAsia="仿宋_GB2312" w:cs="仿宋_GB2312"/>
          <w:b/>
          <w:sz w:val="32"/>
          <w:szCs w:val="32"/>
          <w:lang w:val="zh-CN"/>
        </w:rPr>
      </w:pPr>
      <w:r>
        <w:rPr>
          <w:rFonts w:hint="eastAsia" w:ascii="楷体_GB2312" w:hAnsi="楷体_GB2312" w:eastAsia="楷体_GB2312" w:cs="楷体_GB2312"/>
          <w:b w:val="0"/>
          <w:bCs/>
          <w:sz w:val="32"/>
          <w:szCs w:val="32"/>
          <w:lang w:val="zh-CN"/>
        </w:rPr>
        <w:t>（一）项目组织架构及实施流程。</w:t>
      </w:r>
      <w:r>
        <w:rPr>
          <w:rFonts w:hint="eastAsia" w:ascii="仿宋_GB2312" w:hAnsi="仿宋_GB2312" w:eastAsia="仿宋_GB2312" w:cs="仿宋_GB2312"/>
          <w:sz w:val="32"/>
          <w:szCs w:val="32"/>
          <w:lang w:val="zh-CN"/>
        </w:rPr>
        <w:t>我单位成立了项目领导小组负责项目统筹安排及管理，安排专人具体负责实施。</w:t>
      </w:r>
    </w:p>
    <w:p>
      <w:pPr>
        <w:adjustRightInd w:val="0"/>
        <w:snapToGrid w:val="0"/>
        <w:spacing w:line="560" w:lineRule="exact"/>
        <w:ind w:firstLine="720"/>
        <w:rPr>
          <w:rFonts w:hint="eastAsia" w:ascii="仿宋_GB2312" w:hAnsi="仿宋_GB2312" w:eastAsia="仿宋_GB2312" w:cs="仿宋_GB2312"/>
          <w:sz w:val="32"/>
          <w:szCs w:val="32"/>
          <w:lang w:val="zh-CN"/>
        </w:rPr>
      </w:pPr>
      <w:r>
        <w:rPr>
          <w:rFonts w:hint="eastAsia" w:ascii="楷体_GB2312" w:hAnsi="楷体_GB2312" w:eastAsia="楷体_GB2312" w:cs="楷体_GB2312"/>
          <w:bCs/>
          <w:sz w:val="32"/>
          <w:szCs w:val="32"/>
          <w:lang w:val="zh-CN"/>
        </w:rPr>
        <w:t>（二）</w:t>
      </w:r>
      <w:r>
        <w:rPr>
          <w:rFonts w:hint="eastAsia" w:ascii="楷体_GB2312" w:hAnsi="楷体_GB2312" w:eastAsia="楷体_GB2312" w:cs="楷体_GB2312"/>
          <w:sz w:val="32"/>
          <w:szCs w:val="32"/>
          <w:lang w:val="zh-CN"/>
        </w:rPr>
        <w:t>项目管理情况。</w:t>
      </w:r>
      <w:r>
        <w:rPr>
          <w:rFonts w:hint="eastAsia" w:ascii="仿宋_GB2312" w:hAnsi="仿宋_GB2312" w:eastAsia="仿宋_GB2312" w:cs="仿宋_GB2312"/>
          <w:sz w:val="32"/>
          <w:szCs w:val="32"/>
          <w:lang w:val="zh-CN"/>
        </w:rPr>
        <w:t>我单位严格执行相关法律法规及项目管理制度，管理有序，质量较高，取得了良好的效果。</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楷体_GB2312" w:hAnsi="楷体_GB2312" w:eastAsia="楷体_GB2312" w:cs="楷体_GB2312"/>
          <w:bCs/>
          <w:sz w:val="32"/>
          <w:szCs w:val="32"/>
          <w:lang w:val="zh-CN"/>
        </w:rPr>
        <w:t>（三）</w:t>
      </w:r>
      <w:r>
        <w:rPr>
          <w:rFonts w:hint="eastAsia" w:ascii="楷体_GB2312" w:hAnsi="楷体_GB2312" w:eastAsia="楷体_GB2312" w:cs="楷体_GB2312"/>
          <w:sz w:val="32"/>
          <w:szCs w:val="32"/>
          <w:lang w:val="zh-CN"/>
        </w:rPr>
        <w:t>项目监管情况。</w:t>
      </w:r>
      <w:r>
        <w:rPr>
          <w:rFonts w:hint="eastAsia" w:ascii="仿宋_GB2312" w:hAnsi="仿宋_GB2312" w:eastAsia="仿宋_GB2312" w:cs="仿宋_GB2312"/>
          <w:sz w:val="32"/>
          <w:szCs w:val="32"/>
          <w:lang w:val="zh-CN"/>
        </w:rPr>
        <w:t>我单位项目主要是工作经费，费用支出经过逐级审核，项目实施中纪检部门进行监管，按照单位内控控制制度实施监管，有力的促进了项目顺利实施，圆满完成，监管效果良好。</w:t>
      </w:r>
    </w:p>
    <w:p>
      <w:pPr>
        <w:adjustRightInd w:val="0"/>
        <w:snapToGrid w:val="0"/>
        <w:spacing w:line="560"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zh-CN"/>
        </w:rPr>
        <w:t>四、项目绩效情况</w:t>
      </w:r>
      <w:r>
        <w:rPr>
          <w:rFonts w:hint="eastAsia" w:ascii="黑体" w:hAnsi="黑体" w:eastAsia="黑体" w:cs="黑体"/>
          <w:sz w:val="32"/>
          <w:szCs w:val="32"/>
          <w:lang w:val="zh-CN"/>
        </w:rPr>
        <w:tab/>
      </w:r>
    </w:p>
    <w:p>
      <w:pPr>
        <w:adjustRightInd w:val="0"/>
        <w:snapToGrid w:val="0"/>
        <w:spacing w:line="560" w:lineRule="exact"/>
        <w:ind w:firstLine="640" w:firstLineChars="200"/>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（一）项目完成情况</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全部完成预期目标，按照预定的实施方案，由县区提供救助名单，所有资金全额及时到位发放至受助学生，共资助大学生167人，其中：资助大学新生134人共计40.2万元，资助在广就读贫困大学生33人共计9.9万元（超出的1000元从广元市慈善总会账户非限定性资金中列支）。均达到数量计划值，质量良好、按时完成、未超预算，无资金结余，无违规违纪情况。</w:t>
      </w:r>
    </w:p>
    <w:p>
      <w:pPr>
        <w:adjustRightInd w:val="0"/>
        <w:snapToGrid w:val="0"/>
        <w:spacing w:line="560" w:lineRule="exact"/>
        <w:ind w:firstLine="640" w:firstLineChars="200"/>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（二）项目效益情况</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项目取得了良好的社会效益。帮助我市困难家庭学生顺利完成学业，成长成才，发挥了慈善事业在帮困、助学中的补充作用。巩固了脱贫攻坚成果，助力乡村振兴。贫困学生满意度达100%。</w:t>
      </w:r>
    </w:p>
    <w:p>
      <w:pPr>
        <w:adjustRightInd w:val="0"/>
        <w:snapToGrid w:val="0"/>
        <w:spacing w:line="560"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zh-CN"/>
        </w:rPr>
        <w:t>五、评价结论及建议</w:t>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（一）评价结论</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项目管理良好，实施有序，绩效显著。均达到了预期目标</w:t>
      </w:r>
      <w:r>
        <w:rPr>
          <w:rFonts w:hint="eastAsia" w:ascii="仿宋_GB2312" w:hAnsi="仿宋_GB2312" w:eastAsia="仿宋_GB2312" w:cs="仿宋_GB2312"/>
          <w:sz w:val="32"/>
          <w:szCs w:val="32"/>
          <w:lang w:val="zh-CN"/>
        </w:rPr>
        <w:t>。评价得分</w:t>
      </w:r>
      <w:r>
        <w:rPr>
          <w:rFonts w:hint="eastAsia" w:ascii="仿宋_GB2312" w:hAnsi="仿宋_GB2312" w:eastAsia="仿宋_GB2312" w:cs="仿宋_GB2312"/>
          <w:sz w:val="32"/>
          <w:szCs w:val="32"/>
        </w:rPr>
        <w:t>100分。</w:t>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（二）存在的问题</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无。</w:t>
      </w:r>
      <w:r>
        <w:rPr>
          <w:rFonts w:hint="eastAsia" w:ascii="仿宋_GB2312" w:hAnsi="仿宋_GB2312" w:eastAsia="仿宋_GB2312" w:cs="仿宋_GB2312"/>
          <w:sz w:val="32"/>
          <w:szCs w:val="32"/>
          <w:lang w:val="zh-CN"/>
        </w:rPr>
        <w:tab/>
      </w:r>
    </w:p>
    <w:p>
      <w:pPr>
        <w:adjustRightInd w:val="0"/>
        <w:snapToGrid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（三）相关建议</w:t>
      </w:r>
    </w:p>
    <w:p>
      <w:pPr>
        <w:adjustRightInd w:val="0"/>
        <w:snapToGrid w:val="0"/>
        <w:spacing w:line="560" w:lineRule="exact"/>
        <w:ind w:firstLine="640" w:firstLineChars="200"/>
        <w:rPr>
          <w:rFonts w:hint="eastAsia" w:ascii="宋体" w:hAnsi="宋体" w:eastAsia="宋体" w:cs="宋体"/>
          <w:b/>
          <w:bCs/>
          <w:color w:val="000000"/>
          <w:kern w:val="0"/>
          <w:sz w:val="28"/>
          <w:szCs w:val="28"/>
          <w:lang w:val="en-US" w:eastAsia="zh-CN" w:bidi="ar"/>
        </w:rPr>
      </w:pPr>
      <w:r>
        <w:rPr>
          <w:rFonts w:hint="eastAsia" w:ascii="仿宋_GB2312" w:hAnsi="仿宋_GB2312" w:eastAsia="仿宋_GB2312" w:cs="仿宋_GB2312"/>
          <w:sz w:val="32"/>
          <w:szCs w:val="32"/>
          <w:lang w:val="zh-CN"/>
        </w:rPr>
        <w:t>一是加强业务培训，进一步提高工作人员财政资金绩效意识；二是进一步细化项目预算，严格控制各项费用，过紧日子；三是今后对于财政资金项目，加大评价结果应用，真正做到“用钱必问效，无效必问责”。</w:t>
      </w:r>
    </w:p>
    <w:p>
      <w:pPr>
        <w:pStyle w:val="2"/>
        <w:jc w:val="center"/>
        <w:rPr>
          <w:rFonts w:hint="eastAsia"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val="en-US" w:eastAsia="zh-CN" w:bidi="ar"/>
        </w:rPr>
        <w:t>2021年部门预算项目绩效目标</w:t>
      </w:r>
      <w:r>
        <w:rPr>
          <w:rFonts w:hint="eastAsia" w:ascii="宋体" w:hAnsi="宋体" w:eastAsia="宋体" w:cs="宋体"/>
          <w:b/>
          <w:bCs/>
          <w:color w:val="000000"/>
          <w:kern w:val="0"/>
          <w:sz w:val="28"/>
          <w:szCs w:val="28"/>
          <w:lang w:bidi="ar"/>
        </w:rPr>
        <w:t>自评表</w:t>
      </w:r>
    </w:p>
    <w:tbl>
      <w:tblPr>
        <w:tblStyle w:val="12"/>
        <w:tblW w:w="9950" w:type="dxa"/>
        <w:tblInd w:w="-5" w:type="dxa"/>
        <w:tblLayout w:type="autofit"/>
        <w:tblCellMar>
          <w:top w:w="0" w:type="dxa"/>
          <w:left w:w="108" w:type="dxa"/>
          <w:bottom w:w="0" w:type="dxa"/>
          <w:right w:w="108" w:type="dxa"/>
        </w:tblCellMar>
      </w:tblPr>
      <w:tblGrid>
        <w:gridCol w:w="808"/>
        <w:gridCol w:w="14"/>
        <w:gridCol w:w="793"/>
        <w:gridCol w:w="259"/>
        <w:gridCol w:w="820"/>
        <w:gridCol w:w="154"/>
        <w:gridCol w:w="1375"/>
        <w:gridCol w:w="376"/>
        <w:gridCol w:w="1391"/>
        <w:gridCol w:w="447"/>
        <w:gridCol w:w="969"/>
        <w:gridCol w:w="817"/>
        <w:gridCol w:w="1727"/>
      </w:tblGrid>
      <w:tr>
        <w:tblPrEx>
          <w:tblCellMar>
            <w:top w:w="0" w:type="dxa"/>
            <w:left w:w="108" w:type="dxa"/>
            <w:bottom w:w="0" w:type="dxa"/>
            <w:right w:w="108" w:type="dxa"/>
          </w:tblCellMar>
        </w:tblPrEx>
        <w:trPr>
          <w:trHeight w:val="360" w:hRule="atLeast"/>
        </w:trPr>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项目名称</w:t>
            </w:r>
          </w:p>
        </w:tc>
        <w:tc>
          <w:tcPr>
            <w:tcW w:w="71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慈善助学</w:t>
            </w:r>
          </w:p>
        </w:tc>
      </w:tr>
      <w:tr>
        <w:tblPrEx>
          <w:tblCellMar>
            <w:top w:w="0" w:type="dxa"/>
            <w:left w:w="108" w:type="dxa"/>
            <w:bottom w:w="0" w:type="dxa"/>
            <w:right w:w="108" w:type="dxa"/>
          </w:tblCellMar>
        </w:tblPrEx>
        <w:trPr>
          <w:trHeight w:val="360" w:hRule="atLeast"/>
        </w:trPr>
        <w:tc>
          <w:tcPr>
            <w:tcW w:w="28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主管单位</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市民政局</w:t>
            </w: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实施单位</w:t>
            </w:r>
          </w:p>
        </w:tc>
        <w:tc>
          <w:tcPr>
            <w:tcW w:w="35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市慈善事业和社会工作发展中心</w:t>
            </w:r>
          </w:p>
        </w:tc>
      </w:tr>
      <w:tr>
        <w:tblPrEx>
          <w:tblCellMar>
            <w:top w:w="0" w:type="dxa"/>
            <w:left w:w="108" w:type="dxa"/>
            <w:bottom w:w="0" w:type="dxa"/>
            <w:right w:w="108" w:type="dxa"/>
          </w:tblCellMar>
        </w:tblPrEx>
        <w:trPr>
          <w:trHeight w:val="360" w:hRule="atLeast"/>
        </w:trPr>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预算</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执行</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情况</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（万元）</w:t>
            </w:r>
          </w:p>
        </w:tc>
        <w:tc>
          <w:tcPr>
            <w:tcW w:w="20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预算数：</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50</w:t>
            </w: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执行数：</w:t>
            </w:r>
          </w:p>
        </w:tc>
        <w:tc>
          <w:tcPr>
            <w:tcW w:w="35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50</w:t>
            </w:r>
          </w:p>
        </w:tc>
      </w:tr>
      <w:tr>
        <w:trPr>
          <w:trHeight w:val="680" w:hRule="atLeast"/>
        </w:trPr>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20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50</w:t>
            </w:r>
          </w:p>
        </w:tc>
        <w:tc>
          <w:tcPr>
            <w:tcW w:w="1838" w:type="dxa"/>
            <w:gridSpan w:val="2"/>
            <w:tcBorders>
              <w:top w:val="single" w:color="000000" w:sz="4" w:space="0"/>
              <w:left w:val="nil"/>
              <w:bottom w:val="nil"/>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35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50</w:t>
            </w:r>
          </w:p>
        </w:tc>
      </w:tr>
      <w:tr>
        <w:tblPrEx>
          <w:tblCellMar>
            <w:top w:w="0" w:type="dxa"/>
            <w:left w:w="108" w:type="dxa"/>
            <w:bottom w:w="0" w:type="dxa"/>
            <w:right w:w="108" w:type="dxa"/>
          </w:tblCellMar>
        </w:tblPrEx>
        <w:trPr>
          <w:trHeight w:val="680" w:hRule="atLeast"/>
        </w:trPr>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20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其他资金</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838" w:type="dxa"/>
            <w:gridSpan w:val="2"/>
            <w:tcBorders>
              <w:top w:val="single" w:color="000000" w:sz="4" w:space="0"/>
              <w:left w:val="nil"/>
              <w:bottom w:val="nil"/>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其他资金</w:t>
            </w:r>
          </w:p>
        </w:tc>
        <w:tc>
          <w:tcPr>
            <w:tcW w:w="35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680" w:hRule="atLeast"/>
        </w:trPr>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年度</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目标</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完成</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情况</w:t>
            </w:r>
          </w:p>
        </w:tc>
        <w:tc>
          <w:tcPr>
            <w:tcW w:w="379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预期目标</w:t>
            </w:r>
          </w:p>
        </w:tc>
        <w:tc>
          <w:tcPr>
            <w:tcW w:w="53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实际完成目标</w:t>
            </w:r>
          </w:p>
        </w:tc>
      </w:tr>
      <w:tr>
        <w:tblPrEx>
          <w:tblCellMar>
            <w:top w:w="0" w:type="dxa"/>
            <w:left w:w="108" w:type="dxa"/>
            <w:bottom w:w="0" w:type="dxa"/>
            <w:right w:w="108" w:type="dxa"/>
          </w:tblCellMar>
        </w:tblPrEx>
        <w:trPr>
          <w:trHeight w:val="2770" w:hRule="atLeast"/>
        </w:trPr>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3791" w:type="dxa"/>
            <w:gridSpan w:val="7"/>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为帮助我市困难家庭学生顺利完成学业，针对具有广元市户籍，参加2021年四川省普通高等学校招生考试，计划招生范围内被普通高等学校录取的困难家庭学生；参加2021年中考升入普通高中和职业高中的困难家庭学生。优先解决低保户子女、重残重病家庭子女、烈（军）属子女、残疾人子女、见义勇为者子女、孤儿（事实无人抚养儿童），并给予一次性救助。</w:t>
            </w:r>
          </w:p>
        </w:tc>
        <w:tc>
          <w:tcPr>
            <w:tcW w:w="5351" w:type="dxa"/>
            <w:gridSpan w:val="5"/>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1.资助大学新生134名，资助标准3000元/人，共计40.2万元。                        2.资助在广就读贫困大学生33人，资助标准3000元/人，共计9.9万元（超出的1000元从广元市慈善总会账户非限定性资金中列支）。</w:t>
            </w:r>
          </w:p>
        </w:tc>
      </w:tr>
      <w:tr>
        <w:trPr>
          <w:trHeight w:val="780" w:hRule="atLeast"/>
        </w:trPr>
        <w:tc>
          <w:tcPr>
            <w:tcW w:w="808"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年度</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绩效</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指标</w:t>
            </w:r>
          </w:p>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完成</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情况</w:t>
            </w:r>
          </w:p>
        </w:tc>
        <w:tc>
          <w:tcPr>
            <w:tcW w:w="1066" w:type="dxa"/>
            <w:gridSpan w:val="3"/>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一级指标</w:t>
            </w:r>
          </w:p>
        </w:tc>
        <w:tc>
          <w:tcPr>
            <w:tcW w:w="9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二级指标</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三级指标</w:t>
            </w: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指标值（包含数字及文字描述）</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实际完成指标值（包含数字及文字描述）</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未完成原因及改进措施</w:t>
            </w:r>
          </w:p>
        </w:tc>
      </w:tr>
      <w:tr>
        <w:tblPrEx>
          <w:tblCellMar>
            <w:top w:w="0" w:type="dxa"/>
            <w:left w:w="108" w:type="dxa"/>
            <w:bottom w:w="0" w:type="dxa"/>
            <w:right w:w="108" w:type="dxa"/>
          </w:tblCellMar>
        </w:tblPrEx>
        <w:trPr>
          <w:trHeight w:val="600" w:hRule="atLeast"/>
        </w:trPr>
        <w:tc>
          <w:tcPr>
            <w:tcW w:w="80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6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974" w:type="dxa"/>
            <w:gridSpan w:val="2"/>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数量指标</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资助贫困学生人数</w:t>
            </w: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167人</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167人</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1740" w:hRule="atLeast"/>
        </w:trPr>
        <w:tc>
          <w:tcPr>
            <w:tcW w:w="80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974" w:type="dxa"/>
            <w:gridSpan w:val="2"/>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质量指标</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资助成效</w:t>
            </w: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确保困难家庭学生顺利完成学业，促进社会和谐。</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按照预定的实施方案，由县区提供救助名单，所有资金全额及时到位发放至受助学生。</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480" w:hRule="atLeast"/>
        </w:trPr>
        <w:tc>
          <w:tcPr>
            <w:tcW w:w="80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974" w:type="dxa"/>
            <w:gridSpan w:val="2"/>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时效指标</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完成时间</w:t>
            </w: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2021年12月31日前</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已完成</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rPr>
          <w:trHeight w:val="540" w:hRule="atLeast"/>
        </w:trPr>
        <w:tc>
          <w:tcPr>
            <w:tcW w:w="80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974" w:type="dxa"/>
            <w:gridSpan w:val="2"/>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成本指标</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助学资金</w:t>
            </w: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6.43</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6.43</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570" w:hRule="atLeast"/>
        </w:trPr>
        <w:tc>
          <w:tcPr>
            <w:tcW w:w="80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6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项目效果指标</w:t>
            </w:r>
          </w:p>
        </w:tc>
        <w:tc>
          <w:tcPr>
            <w:tcW w:w="974" w:type="dxa"/>
            <w:gridSpan w:val="2"/>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经济效益</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仿宋_GB2312" w:eastAsia="仿宋_GB2312" w:cs="仿宋_GB2312"/>
                <w:color w:val="000000"/>
                <w:sz w:val="24"/>
              </w:rPr>
            </w:pP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1310" w:hRule="atLeast"/>
        </w:trPr>
        <w:tc>
          <w:tcPr>
            <w:tcW w:w="80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974" w:type="dxa"/>
            <w:gridSpan w:val="2"/>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社会效益</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慈善助学</w:t>
            </w: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帮助我市困难家庭学生顺利完成学业，成长成才，巩固脱贫攻坚成果，助力乡村振兴。</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我市困难学生顺利完成学业，发挥了慈善事业在帮困、助学中的补充作用。</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610" w:hRule="atLeast"/>
        </w:trPr>
        <w:tc>
          <w:tcPr>
            <w:tcW w:w="80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974" w:type="dxa"/>
            <w:gridSpan w:val="2"/>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生态效益</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仿宋_GB2312" w:eastAsia="仿宋_GB2312" w:cs="仿宋_GB2312"/>
                <w:color w:val="000000"/>
                <w:sz w:val="24"/>
              </w:rPr>
            </w:pP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rPr>
          <w:trHeight w:val="600" w:hRule="atLeast"/>
        </w:trPr>
        <w:tc>
          <w:tcPr>
            <w:tcW w:w="80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974" w:type="dxa"/>
            <w:gridSpan w:val="2"/>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可持续影响</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仿宋_GB2312" w:eastAsia="仿宋_GB2312" w:cs="仿宋_GB2312"/>
                <w:color w:val="000000"/>
                <w:sz w:val="24"/>
              </w:rPr>
            </w:pP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480" w:hRule="atLeast"/>
        </w:trPr>
        <w:tc>
          <w:tcPr>
            <w:tcW w:w="80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9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仿宋_GB2312" w:eastAsia="仿宋_GB2312" w:cs="仿宋_GB2312"/>
                <w:color w:val="000000"/>
                <w:sz w:val="24"/>
              </w:rPr>
            </w:pP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480" w:hRule="atLeast"/>
        </w:trPr>
        <w:tc>
          <w:tcPr>
            <w:tcW w:w="80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66" w:type="dxa"/>
            <w:gridSpan w:val="3"/>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满意度</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w:t>
            </w:r>
          </w:p>
        </w:tc>
        <w:tc>
          <w:tcPr>
            <w:tcW w:w="974" w:type="dxa"/>
            <w:gridSpan w:val="2"/>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满意度指标</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贫困学生满意度</w:t>
            </w: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≧100%</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≧100%</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822" w:type="dxa"/>
            <w:gridSpan w:val="2"/>
            <w:vMerge w:val="restart"/>
            <w:tcBorders>
              <w:top w:val="single" w:color="000000" w:sz="4" w:space="0"/>
              <w:left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793"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79" w:type="dxa"/>
            <w:gridSpan w:val="2"/>
            <w:vMerge w:val="restart"/>
            <w:tcBorders>
              <w:top w:val="single" w:color="000000" w:sz="4" w:space="0"/>
              <w:left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指标2：</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2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rPr>
          <w:trHeight w:val="285" w:hRule="atLeast"/>
        </w:trPr>
        <w:tc>
          <w:tcPr>
            <w:tcW w:w="8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2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8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可持续影响</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指标1：</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2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8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指标2：</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2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8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2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rPr>
          <w:trHeight w:val="285" w:hRule="atLeast"/>
        </w:trPr>
        <w:tc>
          <w:tcPr>
            <w:tcW w:w="8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仿宋_GB2312" w:eastAsia="仿宋_GB2312" w:cs="仿宋_GB2312"/>
                <w:color w:val="000000"/>
                <w:sz w:val="24"/>
              </w:rPr>
            </w:pP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c>
          <w:tcPr>
            <w:tcW w:w="2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8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bidi="ar"/>
              </w:rPr>
              <w:t>满意度</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w:t>
            </w:r>
          </w:p>
        </w:tc>
        <w:tc>
          <w:tcPr>
            <w:tcW w:w="10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满意度指标</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指标1：社会组织从业人员、行政管理人员</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≧100%</w:t>
            </w: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100%</w:t>
            </w:r>
          </w:p>
        </w:tc>
        <w:tc>
          <w:tcPr>
            <w:tcW w:w="2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r>
        <w:tblPrEx>
          <w:tblCellMar>
            <w:top w:w="0" w:type="dxa"/>
            <w:left w:w="108" w:type="dxa"/>
            <w:bottom w:w="0" w:type="dxa"/>
            <w:right w:w="108" w:type="dxa"/>
          </w:tblCellMar>
        </w:tblPrEx>
        <w:trPr>
          <w:trHeight w:val="285" w:hRule="atLeast"/>
        </w:trPr>
        <w:tc>
          <w:tcPr>
            <w:tcW w:w="8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 指标2：</w:t>
            </w:r>
          </w:p>
        </w:tc>
        <w:tc>
          <w:tcPr>
            <w:tcW w:w="17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rPr>
            </w:pPr>
          </w:p>
        </w:tc>
        <w:tc>
          <w:tcPr>
            <w:tcW w:w="2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 w:val="24"/>
              </w:rPr>
            </w:pPr>
          </w:p>
        </w:tc>
      </w:tr>
    </w:tbl>
    <w:p>
      <w:pPr>
        <w:pStyle w:val="2"/>
        <w:jc w:val="center"/>
        <w:rPr>
          <w:rFonts w:hint="eastAsia" w:ascii="宋体" w:hAnsi="宋体" w:eastAsia="宋体" w:cs="宋体"/>
          <w:b/>
          <w:bCs/>
          <w:color w:val="000000"/>
          <w:kern w:val="0"/>
          <w:sz w:val="28"/>
          <w:szCs w:val="28"/>
          <w:lang w:bidi="ar"/>
        </w:rPr>
      </w:pPr>
    </w:p>
    <w:p>
      <w:pPr>
        <w:spacing w:line="600" w:lineRule="exact"/>
        <w:jc w:val="both"/>
        <w:outlineLvl w:val="0"/>
        <w:rPr>
          <w:rFonts w:hint="eastAsia" w:ascii="黑体" w:hAnsi="黑体" w:eastAsia="黑体"/>
          <w:sz w:val="44"/>
          <w:szCs w:val="44"/>
        </w:rPr>
      </w:pPr>
    </w:p>
    <w:p>
      <w:pPr>
        <w:pStyle w:val="16"/>
        <w:rPr>
          <w:rFonts w:hint="eastAsia"/>
        </w:rPr>
      </w:pPr>
    </w:p>
    <w:bookmarkEnd w:id="51"/>
    <w:bookmarkEnd w:id="52"/>
    <w:p>
      <w:pPr>
        <w:spacing w:line="600" w:lineRule="exact"/>
        <w:jc w:val="both"/>
        <w:outlineLvl w:val="0"/>
        <w:rPr>
          <w:rFonts w:ascii="黑体" w:hAnsi="黑体" w:eastAsia="黑体"/>
          <w:sz w:val="44"/>
          <w:szCs w:val="44"/>
        </w:rPr>
      </w:pPr>
      <w:bookmarkStart w:id="53" w:name="_Toc15396618"/>
      <w:bookmarkStart w:id="54" w:name="_Toc15377226"/>
    </w:p>
    <w:p>
      <w:pPr>
        <w:spacing w:line="600" w:lineRule="exact"/>
        <w:jc w:val="center"/>
        <w:outlineLvl w:val="0"/>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sz w:val="44"/>
          <w:szCs w:val="44"/>
        </w:rPr>
        <w:t>第</w:t>
      </w:r>
      <w:r>
        <w:rPr>
          <w:rStyle w:val="25"/>
          <w:rFonts w:hint="eastAsia" w:ascii="方正小标宋简体" w:hAnsi="方正小标宋简体" w:eastAsia="方正小标宋简体" w:cs="方正小标宋简体"/>
          <w:b w:val="0"/>
        </w:rPr>
        <w:t>五部分 附表</w:t>
      </w:r>
      <w:bookmarkEnd w:id="53"/>
      <w:bookmarkEnd w:id="54"/>
      <w:bookmarkStart w:id="55" w:name="_Toc15396619"/>
    </w:p>
    <w:p>
      <w:pPr>
        <w:pStyle w:val="4"/>
        <w:pageBreakBefore w:val="0"/>
        <w:widowControl w:val="0"/>
        <w:kinsoku/>
        <w:wordWrap/>
        <w:overflowPunct/>
        <w:topLinePunct w:val="0"/>
        <w:autoSpaceDE/>
        <w:autoSpaceDN/>
        <w:bidi w:val="0"/>
        <w:adjustRightInd/>
        <w:snapToGrid/>
        <w:spacing w:before="0" w:after="0" w:line="576" w:lineRule="exact"/>
        <w:textAlignment w:val="auto"/>
        <w:rPr>
          <w:rStyle w:val="26"/>
          <w:rFonts w:hint="eastAsia" w:ascii="仿宋" w:hAnsi="仿宋" w:eastAsia="仿宋"/>
          <w:b w:val="0"/>
          <w:bCs w:val="0"/>
        </w:rPr>
      </w:pPr>
      <w:r>
        <w:rPr>
          <w:rStyle w:val="26"/>
          <w:rFonts w:hint="eastAsia" w:ascii="仿宋" w:hAnsi="仿宋" w:eastAsia="仿宋"/>
          <w:b w:val="0"/>
          <w:bCs w:val="0"/>
        </w:rPr>
        <w:t>一、收入支出决算总表</w:t>
      </w:r>
      <w:bookmarkEnd w:id="55"/>
    </w:p>
    <w:p>
      <w:pPr>
        <w:pStyle w:val="4"/>
        <w:pageBreakBefore w:val="0"/>
        <w:widowControl w:val="0"/>
        <w:kinsoku/>
        <w:wordWrap/>
        <w:overflowPunct/>
        <w:topLinePunct w:val="0"/>
        <w:autoSpaceDE/>
        <w:autoSpaceDN/>
        <w:bidi w:val="0"/>
        <w:adjustRightInd/>
        <w:snapToGrid/>
        <w:spacing w:before="0" w:after="0" w:line="576" w:lineRule="exact"/>
        <w:textAlignment w:val="auto"/>
        <w:rPr>
          <w:rStyle w:val="26"/>
          <w:rFonts w:hint="eastAsia" w:ascii="仿宋" w:hAnsi="仿宋" w:eastAsia="仿宋"/>
          <w:b w:val="0"/>
          <w:bCs w:val="0"/>
        </w:rPr>
      </w:pPr>
      <w:bookmarkStart w:id="56" w:name="_Toc15396620"/>
      <w:r>
        <w:rPr>
          <w:rStyle w:val="26"/>
          <w:rFonts w:hint="eastAsia" w:ascii="仿宋" w:hAnsi="仿宋" w:eastAsia="仿宋"/>
          <w:b w:val="0"/>
          <w:bCs w:val="0"/>
        </w:rPr>
        <w:t>二、收入决算表</w:t>
      </w:r>
      <w:bookmarkEnd w:id="56"/>
    </w:p>
    <w:p>
      <w:pPr>
        <w:pStyle w:val="4"/>
        <w:pageBreakBefore w:val="0"/>
        <w:widowControl w:val="0"/>
        <w:kinsoku/>
        <w:wordWrap/>
        <w:overflowPunct/>
        <w:topLinePunct w:val="0"/>
        <w:autoSpaceDE/>
        <w:autoSpaceDN/>
        <w:bidi w:val="0"/>
        <w:adjustRightInd/>
        <w:snapToGrid/>
        <w:spacing w:before="0" w:after="0" w:line="576" w:lineRule="exact"/>
        <w:textAlignment w:val="auto"/>
        <w:rPr>
          <w:rStyle w:val="26"/>
          <w:rFonts w:hint="eastAsia" w:ascii="仿宋" w:hAnsi="仿宋" w:eastAsia="仿宋"/>
          <w:b w:val="0"/>
          <w:bCs w:val="0"/>
        </w:rPr>
      </w:pPr>
      <w:bookmarkStart w:id="57" w:name="_Toc15396621"/>
      <w:r>
        <w:rPr>
          <w:rStyle w:val="26"/>
          <w:rFonts w:hint="eastAsia" w:ascii="仿宋" w:hAnsi="仿宋" w:eastAsia="仿宋"/>
          <w:b w:val="0"/>
          <w:bCs w:val="0"/>
        </w:rPr>
        <w:t>三、支出决算表</w:t>
      </w:r>
      <w:bookmarkEnd w:id="57"/>
    </w:p>
    <w:p>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b w:val="0"/>
        </w:rPr>
      </w:pPr>
      <w:bookmarkStart w:id="58" w:name="_Toc15396622"/>
      <w:r>
        <w:rPr>
          <w:rStyle w:val="26"/>
          <w:rFonts w:hint="eastAsia" w:ascii="仿宋" w:hAnsi="仿宋" w:eastAsia="仿宋"/>
          <w:b w:val="0"/>
          <w:bCs w:val="0"/>
        </w:rPr>
        <w:t>四、</w:t>
      </w:r>
      <w:r>
        <w:rPr>
          <w:rFonts w:hint="eastAsia" w:ascii="仿宋" w:hAnsi="仿宋" w:eastAsia="仿宋"/>
          <w:b w:val="0"/>
        </w:rPr>
        <w:t>财</w:t>
      </w:r>
      <w:r>
        <w:rPr>
          <w:rStyle w:val="26"/>
          <w:rFonts w:hint="eastAsia" w:ascii="仿宋" w:hAnsi="仿宋" w:eastAsia="仿宋"/>
          <w:b w:val="0"/>
          <w:bCs w:val="0"/>
        </w:rPr>
        <w:t>政拨款收入支出决算总表</w:t>
      </w:r>
      <w:bookmarkEnd w:id="58"/>
    </w:p>
    <w:p>
      <w:pPr>
        <w:pStyle w:val="4"/>
        <w:pageBreakBefore w:val="0"/>
        <w:widowControl w:val="0"/>
        <w:kinsoku/>
        <w:wordWrap/>
        <w:overflowPunct/>
        <w:topLinePunct w:val="0"/>
        <w:autoSpaceDE/>
        <w:autoSpaceDN/>
        <w:bidi w:val="0"/>
        <w:adjustRightInd/>
        <w:snapToGrid/>
        <w:spacing w:before="0" w:after="0" w:line="576" w:lineRule="exact"/>
        <w:textAlignment w:val="auto"/>
        <w:rPr>
          <w:rStyle w:val="26"/>
          <w:rFonts w:ascii="仿宋" w:hAnsi="仿宋" w:eastAsia="仿宋"/>
          <w:b w:val="0"/>
          <w:bCs w:val="0"/>
        </w:rPr>
      </w:pPr>
      <w:bookmarkStart w:id="59" w:name="_Toc15396623"/>
      <w:r>
        <w:rPr>
          <w:rStyle w:val="26"/>
          <w:rFonts w:hint="eastAsia" w:ascii="仿宋" w:hAnsi="仿宋" w:eastAsia="仿宋"/>
          <w:b w:val="0"/>
          <w:bCs w:val="0"/>
        </w:rPr>
        <w:t>五、</w:t>
      </w:r>
      <w:r>
        <w:rPr>
          <w:rFonts w:hint="eastAsia" w:ascii="仿宋" w:hAnsi="仿宋" w:eastAsia="仿宋"/>
          <w:b w:val="0"/>
        </w:rPr>
        <w:t>财</w:t>
      </w:r>
      <w:r>
        <w:rPr>
          <w:rStyle w:val="26"/>
          <w:rFonts w:hint="eastAsia" w:ascii="仿宋" w:hAnsi="仿宋" w:eastAsia="仿宋"/>
          <w:b w:val="0"/>
          <w:bCs w:val="0"/>
        </w:rPr>
        <w:t>政拨款支出决算明细表</w:t>
      </w:r>
      <w:bookmarkEnd w:id="59"/>
      <w:bookmarkStart w:id="60" w:name="_Toc15396624"/>
    </w:p>
    <w:p>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rPr>
      </w:pPr>
      <w:r>
        <w:rPr>
          <w:rStyle w:val="26"/>
          <w:rFonts w:hint="eastAsia" w:ascii="仿宋" w:hAnsi="仿宋" w:eastAsia="仿宋"/>
          <w:b w:val="0"/>
          <w:bCs w:val="0"/>
        </w:rPr>
        <w:t>六、</w:t>
      </w:r>
      <w:r>
        <w:rPr>
          <w:rFonts w:hint="eastAsia" w:ascii="仿宋" w:hAnsi="仿宋" w:eastAsia="仿宋"/>
          <w:b w:val="0"/>
        </w:rPr>
        <w:t>一</w:t>
      </w:r>
      <w:r>
        <w:rPr>
          <w:rStyle w:val="26"/>
          <w:rFonts w:hint="eastAsia" w:ascii="仿宋" w:hAnsi="仿宋" w:eastAsia="仿宋"/>
          <w:b w:val="0"/>
          <w:bCs w:val="0"/>
        </w:rPr>
        <w:t>般公共预算财政拨款支出决算表</w:t>
      </w:r>
      <w:bookmarkEnd w:id="60"/>
    </w:p>
    <w:p>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rPr>
      </w:pPr>
      <w:bookmarkStart w:id="61" w:name="_Toc15396625"/>
      <w:r>
        <w:rPr>
          <w:rStyle w:val="26"/>
          <w:rFonts w:hint="eastAsia" w:ascii="仿宋" w:hAnsi="仿宋" w:eastAsia="仿宋"/>
          <w:b w:val="0"/>
          <w:bCs w:val="0"/>
        </w:rPr>
        <w:t>七、</w:t>
      </w:r>
      <w:r>
        <w:rPr>
          <w:rFonts w:hint="eastAsia" w:ascii="仿宋" w:hAnsi="仿宋" w:eastAsia="仿宋"/>
          <w:b w:val="0"/>
        </w:rPr>
        <w:t>一</w:t>
      </w:r>
      <w:r>
        <w:rPr>
          <w:rStyle w:val="26"/>
          <w:rFonts w:hint="eastAsia" w:ascii="仿宋" w:hAnsi="仿宋" w:eastAsia="仿宋"/>
          <w:b w:val="0"/>
          <w:bCs w:val="0"/>
        </w:rPr>
        <w:t>般公共预算财政拨款支出决算明细表</w:t>
      </w:r>
      <w:bookmarkEnd w:id="61"/>
    </w:p>
    <w:p>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rPr>
      </w:pPr>
      <w:bookmarkStart w:id="62" w:name="_Toc15396626"/>
      <w:r>
        <w:rPr>
          <w:rStyle w:val="26"/>
          <w:rFonts w:hint="eastAsia" w:ascii="仿宋" w:hAnsi="仿宋" w:eastAsia="仿宋"/>
          <w:b w:val="0"/>
          <w:bCs w:val="0"/>
        </w:rPr>
        <w:t>八、</w:t>
      </w:r>
      <w:r>
        <w:rPr>
          <w:rFonts w:hint="eastAsia" w:ascii="仿宋" w:hAnsi="仿宋" w:eastAsia="仿宋"/>
          <w:b w:val="0"/>
        </w:rPr>
        <w:t>一</w:t>
      </w:r>
      <w:r>
        <w:rPr>
          <w:rStyle w:val="26"/>
          <w:rFonts w:hint="eastAsia" w:ascii="仿宋" w:hAnsi="仿宋" w:eastAsia="仿宋"/>
          <w:b w:val="0"/>
          <w:bCs w:val="0"/>
        </w:rPr>
        <w:t>般公共预算财政拨款基本支出决算表</w:t>
      </w:r>
      <w:bookmarkEnd w:id="62"/>
    </w:p>
    <w:p>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rPr>
      </w:pPr>
      <w:bookmarkStart w:id="63" w:name="_Toc15396627"/>
      <w:r>
        <w:rPr>
          <w:rStyle w:val="26"/>
          <w:rFonts w:hint="eastAsia" w:ascii="仿宋" w:hAnsi="仿宋" w:eastAsia="仿宋"/>
          <w:b w:val="0"/>
          <w:bCs w:val="0"/>
        </w:rPr>
        <w:t>九、</w:t>
      </w:r>
      <w:r>
        <w:rPr>
          <w:rFonts w:hint="eastAsia" w:ascii="仿宋" w:hAnsi="仿宋" w:eastAsia="仿宋"/>
          <w:b w:val="0"/>
        </w:rPr>
        <w:t>一</w:t>
      </w:r>
      <w:r>
        <w:rPr>
          <w:rStyle w:val="26"/>
          <w:rFonts w:hint="eastAsia" w:ascii="仿宋" w:hAnsi="仿宋" w:eastAsia="仿宋"/>
          <w:b w:val="0"/>
          <w:bCs w:val="0"/>
        </w:rPr>
        <w:t>般公共预算财政拨款项目支出决算表</w:t>
      </w:r>
      <w:bookmarkEnd w:id="63"/>
    </w:p>
    <w:p>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rPr>
      </w:pPr>
      <w:bookmarkStart w:id="64" w:name="_Toc15396628"/>
      <w:r>
        <w:rPr>
          <w:rStyle w:val="26"/>
          <w:rFonts w:hint="eastAsia" w:ascii="仿宋" w:hAnsi="仿宋" w:eastAsia="仿宋"/>
          <w:b w:val="0"/>
          <w:bCs w:val="0"/>
        </w:rPr>
        <w:t>十、</w:t>
      </w:r>
      <w:r>
        <w:rPr>
          <w:rFonts w:hint="eastAsia" w:ascii="仿宋" w:hAnsi="仿宋" w:eastAsia="仿宋"/>
          <w:b w:val="0"/>
        </w:rPr>
        <w:t>一</w:t>
      </w:r>
      <w:r>
        <w:rPr>
          <w:rStyle w:val="26"/>
          <w:rFonts w:hint="eastAsia" w:ascii="仿宋" w:hAnsi="仿宋" w:eastAsia="仿宋"/>
          <w:b w:val="0"/>
          <w:bCs w:val="0"/>
        </w:rPr>
        <w:t>般公共预算财政拨款“三公”经费支出决算表</w:t>
      </w:r>
      <w:bookmarkEnd w:id="64"/>
    </w:p>
    <w:p>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rPr>
      </w:pPr>
      <w:bookmarkStart w:id="65" w:name="_Toc15396629"/>
      <w:r>
        <w:rPr>
          <w:rStyle w:val="26"/>
          <w:rFonts w:hint="eastAsia" w:ascii="仿宋" w:hAnsi="仿宋" w:eastAsia="仿宋"/>
          <w:b w:val="0"/>
          <w:bCs w:val="0"/>
        </w:rPr>
        <w:t>十一、</w:t>
      </w:r>
      <w:r>
        <w:rPr>
          <w:rFonts w:hint="eastAsia" w:ascii="仿宋" w:hAnsi="仿宋" w:eastAsia="仿宋"/>
          <w:b w:val="0"/>
        </w:rPr>
        <w:t>政</w:t>
      </w:r>
      <w:r>
        <w:rPr>
          <w:rStyle w:val="26"/>
          <w:rFonts w:hint="eastAsia" w:ascii="仿宋" w:hAnsi="仿宋" w:eastAsia="仿宋"/>
          <w:b w:val="0"/>
          <w:bCs w:val="0"/>
        </w:rPr>
        <w:t>府性基金预算财政拨款收入支出决算表</w:t>
      </w:r>
      <w:bookmarkEnd w:id="65"/>
    </w:p>
    <w:p>
      <w:pPr>
        <w:pStyle w:val="4"/>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rPr>
      </w:pPr>
      <w:bookmarkStart w:id="66" w:name="_Toc15396630"/>
      <w:r>
        <w:rPr>
          <w:rStyle w:val="26"/>
          <w:rFonts w:hint="eastAsia" w:ascii="仿宋" w:hAnsi="仿宋" w:eastAsia="仿宋"/>
          <w:b w:val="0"/>
          <w:bCs w:val="0"/>
        </w:rPr>
        <w:t>十二、</w:t>
      </w:r>
      <w:r>
        <w:rPr>
          <w:rFonts w:hint="eastAsia" w:ascii="仿宋" w:hAnsi="仿宋" w:eastAsia="仿宋"/>
          <w:b w:val="0"/>
        </w:rPr>
        <w:t>政</w:t>
      </w:r>
      <w:r>
        <w:rPr>
          <w:rStyle w:val="26"/>
          <w:rFonts w:hint="eastAsia" w:ascii="仿宋" w:hAnsi="仿宋" w:eastAsia="仿宋"/>
          <w:b w:val="0"/>
          <w:bCs w:val="0"/>
        </w:rPr>
        <w:t>府性基金预算财政拨款“三公”经费支出决算表</w:t>
      </w:r>
      <w:bookmarkEnd w:id="66"/>
    </w:p>
    <w:p>
      <w:pPr>
        <w:pStyle w:val="4"/>
        <w:pageBreakBefore w:val="0"/>
        <w:widowControl w:val="0"/>
        <w:kinsoku/>
        <w:wordWrap/>
        <w:overflowPunct/>
        <w:topLinePunct w:val="0"/>
        <w:autoSpaceDE/>
        <w:autoSpaceDN/>
        <w:bidi w:val="0"/>
        <w:adjustRightInd/>
        <w:snapToGrid/>
        <w:spacing w:before="0" w:after="0" w:line="576" w:lineRule="exact"/>
        <w:textAlignment w:val="auto"/>
        <w:rPr>
          <w:rStyle w:val="26"/>
          <w:rFonts w:ascii="仿宋" w:hAnsi="仿宋" w:eastAsia="仿宋"/>
          <w:b w:val="0"/>
          <w:bCs w:val="0"/>
        </w:rPr>
      </w:pPr>
      <w:bookmarkStart w:id="67" w:name="_Toc15396631"/>
      <w:r>
        <w:rPr>
          <w:rStyle w:val="26"/>
          <w:rFonts w:hint="eastAsia" w:ascii="仿宋" w:hAnsi="仿宋" w:eastAsia="仿宋"/>
          <w:b w:val="0"/>
          <w:bCs w:val="0"/>
        </w:rPr>
        <w:t>十三、</w:t>
      </w:r>
      <w:r>
        <w:rPr>
          <w:rFonts w:hint="eastAsia" w:ascii="仿宋" w:hAnsi="仿宋" w:eastAsia="仿宋"/>
          <w:b w:val="0"/>
        </w:rPr>
        <w:t>国</w:t>
      </w:r>
      <w:r>
        <w:rPr>
          <w:rStyle w:val="26"/>
          <w:rFonts w:hint="eastAsia" w:ascii="仿宋" w:hAnsi="仿宋" w:eastAsia="仿宋"/>
          <w:b w:val="0"/>
          <w:bCs w:val="0"/>
        </w:rPr>
        <w:t>有资本经营预算财政拨款收入支出决算表</w:t>
      </w:r>
      <w:bookmarkEnd w:id="67"/>
    </w:p>
    <w:p>
      <w:pPr>
        <w:pageBreakBefore w:val="0"/>
        <w:widowControl w:val="0"/>
        <w:kinsoku/>
        <w:wordWrap/>
        <w:overflowPunct/>
        <w:topLinePunct w:val="0"/>
        <w:autoSpaceDE/>
        <w:autoSpaceDN/>
        <w:bidi w:val="0"/>
        <w:adjustRightInd/>
        <w:snapToGrid/>
        <w:spacing w:line="576" w:lineRule="exact"/>
        <w:textAlignment w:val="auto"/>
        <w:rPr>
          <w:rFonts w:eastAsia="仿宋"/>
        </w:rPr>
      </w:pPr>
      <w:r>
        <w:rPr>
          <w:rStyle w:val="26"/>
          <w:rFonts w:hint="eastAsia" w:ascii="仿宋" w:hAnsi="仿宋" w:eastAsia="仿宋"/>
          <w:b w:val="0"/>
          <w:bCs w:val="0"/>
        </w:rPr>
        <w:t>十四、国有资本经营预算财政拨款支出决算表</w:t>
      </w:r>
    </w:p>
    <w:sectPr>
      <w:footerReference r:id="rId5" w:type="first"/>
      <w:headerReference r:id="rId3" w:type="default"/>
      <w:footerReference r:id="rId4" w:type="default"/>
      <w:pgSz w:w="11906" w:h="16838"/>
      <w:pgMar w:top="2098" w:right="1531" w:bottom="1984" w:left="1531"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EndPr>
                            <w:rPr>
                              <w:sz w:val="28"/>
                              <w:szCs w:val="28"/>
                            </w:rPr>
                          </w:sdtEndPr>
                          <w:sdtContent>
                            <w:p>
                              <w:pPr>
                                <w:pStyle w:val="8"/>
                                <w:jc w:val="cente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31</w:t>
                              </w:r>
                              <w:r>
                                <w:rPr>
                                  <w:sz w:val="28"/>
                                  <w:szCs w:val="28"/>
                                </w:rPr>
                                <w:fldChar w:fldCharType="end"/>
                              </w:r>
                              <w:r>
                                <w:rPr>
                                  <w:rFonts w:hint="eastAsia"/>
                                  <w:sz w:val="28"/>
                                  <w:szCs w:val="28"/>
                                  <w:lang w:val="en-US" w:eastAsia="zh-CN"/>
                                </w:rPr>
                                <w:t xml:space="preserve"> </w:t>
                              </w:r>
                              <w:r>
                                <w:rPr>
                                  <w:rFonts w:hint="eastAsia"/>
                                  <w:sz w:val="28"/>
                                  <w:szCs w:val="28"/>
                                  <w:lang w:eastAsia="zh-CN"/>
                                </w:rPr>
                                <w:t>—</w:t>
                              </w:r>
                            </w:p>
                          </w:sdtContent>
                        </w:sdt>
                        <w:p>
                          <w:pPr>
                            <w:pStyle w:val="16"/>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sdt>
                    <w:sdtPr>
                      <w:id w:val="-1994781956"/>
                    </w:sdtPr>
                    <w:sdtEndPr>
                      <w:rPr>
                        <w:sz w:val="28"/>
                        <w:szCs w:val="28"/>
                      </w:rPr>
                    </w:sdtEndPr>
                    <w:sdtContent>
                      <w:p>
                        <w:pPr>
                          <w:pStyle w:val="8"/>
                          <w:jc w:val="cente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31</w:t>
                        </w:r>
                        <w:r>
                          <w:rPr>
                            <w:sz w:val="28"/>
                            <w:szCs w:val="28"/>
                          </w:rPr>
                          <w:fldChar w:fldCharType="end"/>
                        </w:r>
                        <w:r>
                          <w:rPr>
                            <w:rFonts w:hint="eastAsia"/>
                            <w:sz w:val="28"/>
                            <w:szCs w:val="28"/>
                            <w:lang w:val="en-US" w:eastAsia="zh-CN"/>
                          </w:rPr>
                          <w:t xml:space="preserve"> </w:t>
                        </w:r>
                        <w:r>
                          <w:rPr>
                            <w:rFonts w:hint="eastAsia"/>
                            <w:sz w:val="28"/>
                            <w:szCs w:val="28"/>
                            <w:lang w:eastAsia="zh-CN"/>
                          </w:rPr>
                          <w:t>—</w:t>
                        </w:r>
                      </w:p>
                    </w:sdtContent>
                  </w:sdt>
                  <w:p>
                    <w:pPr>
                      <w:pStyle w:val="16"/>
                    </w:pP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4BE9F4"/>
    <w:multiLevelType w:val="singleLevel"/>
    <w:tmpl w:val="D54BE9F4"/>
    <w:lvl w:ilvl="0" w:tentative="0">
      <w:start w:val="2"/>
      <w:numFmt w:val="decimal"/>
      <w:suff w:val="nothing"/>
      <w:lvlText w:val="%1．"/>
      <w:lvlJc w:val="left"/>
    </w:lvl>
  </w:abstractNum>
  <w:abstractNum w:abstractNumId="1">
    <w:nsid w:val="FFFE4520"/>
    <w:multiLevelType w:val="singleLevel"/>
    <w:tmpl w:val="FFFE4520"/>
    <w:lvl w:ilvl="0" w:tentative="0">
      <w:start w:val="1"/>
      <w:numFmt w:val="decimal"/>
      <w:lvlText w:val="%1."/>
      <w:lvlJc w:val="left"/>
      <w:pPr>
        <w:tabs>
          <w:tab w:val="left" w:pos="312"/>
        </w:tabs>
      </w:pPr>
    </w:lvl>
  </w:abstractNum>
  <w:abstractNum w:abstractNumId="2">
    <w:nsid w:val="59271687"/>
    <w:multiLevelType w:val="singleLevel"/>
    <w:tmpl w:val="59271687"/>
    <w:lvl w:ilvl="0" w:tentative="0">
      <w:start w:val="3"/>
      <w:numFmt w:val="decimal"/>
      <w:suff w:val="nothing"/>
      <w:lvlText w:val="%1．"/>
      <w:lvlJc w:val="left"/>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J">
    <w15:presenceInfo w15:providerId="None" w15:userId="LJ"/>
  </w15:person>
  <w15:person w15:author="优钵罗华86nlss">
    <w15:presenceInfo w15:providerId="WPS Office" w15:userId="2559621149"/>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trackRevisions w:val="tru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hMTAyOTkxNWViMTUzOTlhZjhhMjliZGE4OTc1ZmQ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46E8"/>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0D3A"/>
    <w:rsid w:val="00380C92"/>
    <w:rsid w:val="00392CA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6372"/>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4682"/>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A5AD2"/>
    <w:rsid w:val="008B768C"/>
    <w:rsid w:val="008C4DB1"/>
    <w:rsid w:val="008C4EAF"/>
    <w:rsid w:val="008C5176"/>
    <w:rsid w:val="008C7FD0"/>
    <w:rsid w:val="008E1DE7"/>
    <w:rsid w:val="008E707C"/>
    <w:rsid w:val="00900B08"/>
    <w:rsid w:val="00902155"/>
    <w:rsid w:val="00902FA3"/>
    <w:rsid w:val="00906AF5"/>
    <w:rsid w:val="00923564"/>
    <w:rsid w:val="0092392E"/>
    <w:rsid w:val="009315F9"/>
    <w:rsid w:val="00933499"/>
    <w:rsid w:val="00935C98"/>
    <w:rsid w:val="00946945"/>
    <w:rsid w:val="00951248"/>
    <w:rsid w:val="0095152F"/>
    <w:rsid w:val="00954C49"/>
    <w:rsid w:val="00955E37"/>
    <w:rsid w:val="009577EE"/>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36A22"/>
    <w:rsid w:val="00A40A00"/>
    <w:rsid w:val="00A4142F"/>
    <w:rsid w:val="00A422EB"/>
    <w:rsid w:val="00A45BB7"/>
    <w:rsid w:val="00A56DF2"/>
    <w:rsid w:val="00A56E6E"/>
    <w:rsid w:val="00A60F24"/>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3881"/>
    <w:rsid w:val="00B944D6"/>
    <w:rsid w:val="00BB4DF0"/>
    <w:rsid w:val="00BC289F"/>
    <w:rsid w:val="00BC2D50"/>
    <w:rsid w:val="00BC5361"/>
    <w:rsid w:val="00BC5460"/>
    <w:rsid w:val="00BC5897"/>
    <w:rsid w:val="00BC6B50"/>
    <w:rsid w:val="00BD0E25"/>
    <w:rsid w:val="00BF5BD6"/>
    <w:rsid w:val="00C03E31"/>
    <w:rsid w:val="00C33E72"/>
    <w:rsid w:val="00C35182"/>
    <w:rsid w:val="00C354B2"/>
    <w:rsid w:val="00C35554"/>
    <w:rsid w:val="00C42709"/>
    <w:rsid w:val="00C533CC"/>
    <w:rsid w:val="00C5751C"/>
    <w:rsid w:val="00C61BFC"/>
    <w:rsid w:val="00C62B85"/>
    <w:rsid w:val="00C643AA"/>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1C8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4600"/>
    <w:rsid w:val="00F36D8F"/>
    <w:rsid w:val="00F417B1"/>
    <w:rsid w:val="00F45853"/>
    <w:rsid w:val="00F602DF"/>
    <w:rsid w:val="00F754A1"/>
    <w:rsid w:val="00F81FD9"/>
    <w:rsid w:val="00F841AA"/>
    <w:rsid w:val="00F84A94"/>
    <w:rsid w:val="00F87E96"/>
    <w:rsid w:val="00FA23E8"/>
    <w:rsid w:val="00FD3CC1"/>
    <w:rsid w:val="00FF1E02"/>
    <w:rsid w:val="00FF30B4"/>
    <w:rsid w:val="0A2032A3"/>
    <w:rsid w:val="0B8A37D8"/>
    <w:rsid w:val="0CC31F37"/>
    <w:rsid w:val="0FD50BF5"/>
    <w:rsid w:val="10C055FF"/>
    <w:rsid w:val="118107EC"/>
    <w:rsid w:val="11DD6519"/>
    <w:rsid w:val="136A23A4"/>
    <w:rsid w:val="16BB723D"/>
    <w:rsid w:val="16DBB4D3"/>
    <w:rsid w:val="18015F3F"/>
    <w:rsid w:val="1BE8440E"/>
    <w:rsid w:val="1D155CEE"/>
    <w:rsid w:val="1FBF5F1F"/>
    <w:rsid w:val="202F4141"/>
    <w:rsid w:val="20F57F95"/>
    <w:rsid w:val="23F70362"/>
    <w:rsid w:val="240371BF"/>
    <w:rsid w:val="25C741E6"/>
    <w:rsid w:val="25CFA330"/>
    <w:rsid w:val="27842671"/>
    <w:rsid w:val="29FD04D3"/>
    <w:rsid w:val="2ABE7A3E"/>
    <w:rsid w:val="2B3F5244"/>
    <w:rsid w:val="2DDFD02C"/>
    <w:rsid w:val="2EFA178C"/>
    <w:rsid w:val="2FF34DE2"/>
    <w:rsid w:val="30B46D73"/>
    <w:rsid w:val="319F7F4E"/>
    <w:rsid w:val="36BD3D1F"/>
    <w:rsid w:val="39AE70AB"/>
    <w:rsid w:val="39DB34B5"/>
    <w:rsid w:val="3B7E24A2"/>
    <w:rsid w:val="3BB82B5F"/>
    <w:rsid w:val="3BD35534"/>
    <w:rsid w:val="3C0C0783"/>
    <w:rsid w:val="3C6F912A"/>
    <w:rsid w:val="3D4158E3"/>
    <w:rsid w:val="3DEBE6EA"/>
    <w:rsid w:val="3F6B4841"/>
    <w:rsid w:val="3F795B0E"/>
    <w:rsid w:val="3F9F3A96"/>
    <w:rsid w:val="3FFFED8C"/>
    <w:rsid w:val="40350D30"/>
    <w:rsid w:val="493C27E9"/>
    <w:rsid w:val="496F39ED"/>
    <w:rsid w:val="49FF41D3"/>
    <w:rsid w:val="4A185DC8"/>
    <w:rsid w:val="4BE068DB"/>
    <w:rsid w:val="4BF6002B"/>
    <w:rsid w:val="4ECE2238"/>
    <w:rsid w:val="4FFA9431"/>
    <w:rsid w:val="51DB4B86"/>
    <w:rsid w:val="55333C3E"/>
    <w:rsid w:val="557FA61F"/>
    <w:rsid w:val="57EF2AD4"/>
    <w:rsid w:val="58F77C8C"/>
    <w:rsid w:val="5A53B569"/>
    <w:rsid w:val="5D531398"/>
    <w:rsid w:val="5F7E2E14"/>
    <w:rsid w:val="61500289"/>
    <w:rsid w:val="62B3E6A9"/>
    <w:rsid w:val="62DF40A8"/>
    <w:rsid w:val="64CA39A1"/>
    <w:rsid w:val="661F97B8"/>
    <w:rsid w:val="6BA7F0F6"/>
    <w:rsid w:val="6BC62DE8"/>
    <w:rsid w:val="6BC6659B"/>
    <w:rsid w:val="6C4A05C8"/>
    <w:rsid w:val="6CFED7D3"/>
    <w:rsid w:val="6D595011"/>
    <w:rsid w:val="6EBF90C6"/>
    <w:rsid w:val="6F575272"/>
    <w:rsid w:val="6FFE1EC7"/>
    <w:rsid w:val="6FFE762E"/>
    <w:rsid w:val="72734D90"/>
    <w:rsid w:val="73778ACF"/>
    <w:rsid w:val="73ABF994"/>
    <w:rsid w:val="73BF14DB"/>
    <w:rsid w:val="75FF8CF1"/>
    <w:rsid w:val="777F9A97"/>
    <w:rsid w:val="77FE3091"/>
    <w:rsid w:val="78FE5B47"/>
    <w:rsid w:val="795A803B"/>
    <w:rsid w:val="79BDBC8F"/>
    <w:rsid w:val="79E7B28D"/>
    <w:rsid w:val="79EBD7F4"/>
    <w:rsid w:val="79EFF3A2"/>
    <w:rsid w:val="7A7FE2B8"/>
    <w:rsid w:val="7B4F846C"/>
    <w:rsid w:val="7BBFCBD1"/>
    <w:rsid w:val="7C754F1E"/>
    <w:rsid w:val="7C775BAB"/>
    <w:rsid w:val="7CA786B3"/>
    <w:rsid w:val="7D6D47C0"/>
    <w:rsid w:val="7D879647"/>
    <w:rsid w:val="7DAF7292"/>
    <w:rsid w:val="7EDF3B38"/>
    <w:rsid w:val="7EEF6A4D"/>
    <w:rsid w:val="7EFB0501"/>
    <w:rsid w:val="7F27242C"/>
    <w:rsid w:val="7F3F9091"/>
    <w:rsid w:val="7F6EDCE5"/>
    <w:rsid w:val="7F6FD675"/>
    <w:rsid w:val="7F9F20EE"/>
    <w:rsid w:val="7FA7FBC1"/>
    <w:rsid w:val="7FBDA1C8"/>
    <w:rsid w:val="7FEB8BE6"/>
    <w:rsid w:val="7FEF4DC8"/>
    <w:rsid w:val="7FFF5C3E"/>
    <w:rsid w:val="7FFFBE09"/>
    <w:rsid w:val="7FFFD221"/>
    <w:rsid w:val="905BFC3F"/>
    <w:rsid w:val="95FB2B87"/>
    <w:rsid w:val="9B9FA1CF"/>
    <w:rsid w:val="9E3A10E2"/>
    <w:rsid w:val="9FF7091D"/>
    <w:rsid w:val="A0BB78F6"/>
    <w:rsid w:val="AFEAABB2"/>
    <w:rsid w:val="AFFD4DAC"/>
    <w:rsid w:val="B3E2210B"/>
    <w:rsid w:val="B8AD09F1"/>
    <w:rsid w:val="B8E52695"/>
    <w:rsid w:val="BCA70244"/>
    <w:rsid w:val="BED2E474"/>
    <w:rsid w:val="BEE5910E"/>
    <w:rsid w:val="BFDF2B0C"/>
    <w:rsid w:val="BFF5FB04"/>
    <w:rsid w:val="CCC5727E"/>
    <w:rsid w:val="CFFDD104"/>
    <w:rsid w:val="DB39932E"/>
    <w:rsid w:val="DBF5F920"/>
    <w:rsid w:val="DBF6128B"/>
    <w:rsid w:val="DC3C98D1"/>
    <w:rsid w:val="DECBE97A"/>
    <w:rsid w:val="DEE330E7"/>
    <w:rsid w:val="DF7B51CB"/>
    <w:rsid w:val="DF7B86C6"/>
    <w:rsid w:val="DF9E3863"/>
    <w:rsid w:val="DFBFA9E1"/>
    <w:rsid w:val="DFCF48D2"/>
    <w:rsid w:val="DFDF7E01"/>
    <w:rsid w:val="DFF71219"/>
    <w:rsid w:val="E7BD3BA4"/>
    <w:rsid w:val="E7BFCC96"/>
    <w:rsid w:val="E7D3E397"/>
    <w:rsid w:val="E7FD8396"/>
    <w:rsid w:val="EBFAC660"/>
    <w:rsid w:val="EE9C3E35"/>
    <w:rsid w:val="EEC3BF1E"/>
    <w:rsid w:val="EEF729EE"/>
    <w:rsid w:val="EEFD4B79"/>
    <w:rsid w:val="EF9FA791"/>
    <w:rsid w:val="EFAFB234"/>
    <w:rsid w:val="EFD2BBE8"/>
    <w:rsid w:val="EFFBE56B"/>
    <w:rsid w:val="F2E1F9D4"/>
    <w:rsid w:val="F3BB2E9B"/>
    <w:rsid w:val="F3DBE5FC"/>
    <w:rsid w:val="F50E9405"/>
    <w:rsid w:val="F595E9D2"/>
    <w:rsid w:val="F6812774"/>
    <w:rsid w:val="F6F28994"/>
    <w:rsid w:val="F6FF4043"/>
    <w:rsid w:val="F76FD4AF"/>
    <w:rsid w:val="F7880819"/>
    <w:rsid w:val="F97F940A"/>
    <w:rsid w:val="FA1FCC9B"/>
    <w:rsid w:val="FA6BBD47"/>
    <w:rsid w:val="FBBD93F0"/>
    <w:rsid w:val="FBDFC728"/>
    <w:rsid w:val="FBEF976A"/>
    <w:rsid w:val="FBFE7B51"/>
    <w:rsid w:val="FBFEA9B7"/>
    <w:rsid w:val="FBFF58B2"/>
    <w:rsid w:val="FD3F9EED"/>
    <w:rsid w:val="FDA7DB3A"/>
    <w:rsid w:val="FDD714CF"/>
    <w:rsid w:val="FDEE6D5A"/>
    <w:rsid w:val="FE5F607E"/>
    <w:rsid w:val="FEC51A61"/>
    <w:rsid w:val="FEF0C603"/>
    <w:rsid w:val="FEF52791"/>
    <w:rsid w:val="FEFB04E7"/>
    <w:rsid w:val="FF7ECE37"/>
    <w:rsid w:val="FFAD2671"/>
    <w:rsid w:val="FFBFF7B8"/>
    <w:rsid w:val="FFCF788C"/>
    <w:rsid w:val="FFD6EFD8"/>
    <w:rsid w:val="FFEF2490"/>
    <w:rsid w:val="FFEF46E8"/>
    <w:rsid w:val="FFFB256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paragraph" w:customStyle="1" w:styleId="16">
    <w:name w:val="常用样式（方正仿宋简）"/>
    <w:basedOn w:val="1"/>
    <w:qFormat/>
    <w:uiPriority w:val="0"/>
    <w:pPr>
      <w:spacing w:line="560" w:lineRule="exact"/>
      <w:ind w:firstLine="640" w:firstLineChars="200"/>
    </w:pPr>
    <w:rPr>
      <w:rFonts w:ascii="Calibri" w:hAnsi="Calibri" w:eastAsia="方正仿宋简体"/>
      <w:sz w:val="32"/>
    </w:rPr>
  </w:style>
  <w:style w:type="character" w:customStyle="1" w:styleId="17">
    <w:name w:val="Header Char"/>
    <w:basedOn w:val="13"/>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3"/>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3"/>
    <w:semiHidden/>
    <w:qFormat/>
    <w:uiPriority w:val="99"/>
    <w:rPr>
      <w:rFonts w:ascii="Times New Roman" w:hAnsi="Times New Roman"/>
      <w:szCs w:val="24"/>
    </w:rPr>
  </w:style>
  <w:style w:type="character" w:customStyle="1" w:styleId="22">
    <w:name w:val="正文文本 Char"/>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3"/>
    <w:link w:val="3"/>
    <w:qFormat/>
    <w:uiPriority w:val="9"/>
    <w:rPr>
      <w:rFonts w:ascii="Times New Roman" w:hAnsi="Times New Roman"/>
      <w:b/>
      <w:bCs/>
      <w:kern w:val="44"/>
      <w:sz w:val="44"/>
      <w:szCs w:val="44"/>
    </w:rPr>
  </w:style>
  <w:style w:type="character" w:customStyle="1" w:styleId="26">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3"/>
    <w:link w:val="7"/>
    <w:semiHidden/>
    <w:qFormat/>
    <w:uiPriority w:val="99"/>
    <w:rPr>
      <w:rFonts w:ascii="Times New Roman" w:hAnsi="Times New Roman"/>
      <w:kern w:val="2"/>
      <w:sz w:val="18"/>
      <w:szCs w:val="18"/>
    </w:rPr>
  </w:style>
  <w:style w:type="character" w:customStyle="1" w:styleId="29">
    <w:name w:val="标题 3 Char"/>
    <w:basedOn w:val="13"/>
    <w:link w:val="5"/>
    <w:qFormat/>
    <w:uiPriority w:val="9"/>
    <w:rPr>
      <w:rFonts w:ascii="Times New Roman" w:hAnsi="Times New Roman"/>
      <w:b/>
      <w:bCs/>
      <w:kern w:val="2"/>
      <w:sz w:val="32"/>
      <w:szCs w:val="32"/>
    </w:rPr>
  </w:style>
  <w:style w:type="paragraph" w:customStyle="1" w:styleId="30">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font71"/>
    <w:basedOn w:val="13"/>
    <w:qFormat/>
    <w:uiPriority w:val="0"/>
    <w:rPr>
      <w:rFonts w:hint="eastAsia" w:ascii="宋体" w:hAnsi="宋体" w:eastAsia="宋体" w:cs="宋体"/>
      <w:color w:val="000000"/>
      <w:sz w:val="24"/>
      <w:szCs w:val="24"/>
      <w:u w:val="none"/>
    </w:rPr>
  </w:style>
  <w:style w:type="character" w:customStyle="1" w:styleId="32">
    <w:name w:val="font11"/>
    <w:basedOn w:val="13"/>
    <w:qFormat/>
    <w:uiPriority w:val="0"/>
    <w:rPr>
      <w:rFonts w:hint="default" w:ascii="Times New Roman" w:hAnsi="Times New Roman" w:cs="Times New Roman"/>
      <w:color w:val="000000"/>
      <w:sz w:val="24"/>
      <w:szCs w:val="24"/>
      <w:u w:val="none"/>
    </w:rPr>
  </w:style>
  <w:style w:type="character" w:customStyle="1" w:styleId="33">
    <w:name w:val="font01"/>
    <w:basedOn w:val="13"/>
    <w:qFormat/>
    <w:uiPriority w:val="0"/>
    <w:rPr>
      <w:rFonts w:hint="eastAsia" w:ascii="宋体" w:hAnsi="宋体" w:eastAsia="宋体" w:cs="宋体"/>
      <w:color w:val="000000"/>
      <w:sz w:val="16"/>
      <w:szCs w:val="16"/>
      <w:u w:val="none"/>
    </w:rPr>
  </w:style>
  <w:style w:type="character" w:customStyle="1" w:styleId="34">
    <w:name w:val="font21"/>
    <w:basedOn w:val="13"/>
    <w:qFormat/>
    <w:uiPriority w:val="0"/>
    <w:rPr>
      <w:rFonts w:hint="eastAsia" w:ascii="宋体" w:hAnsi="宋体" w:eastAsia="宋体" w:cs="宋体"/>
      <w:color w:val="000000"/>
      <w:sz w:val="24"/>
      <w:szCs w:val="24"/>
      <w:u w:val="none"/>
    </w:rPr>
  </w:style>
  <w:style w:type="character" w:customStyle="1" w:styleId="35">
    <w:name w:val="font31"/>
    <w:basedOn w:val="13"/>
    <w:qFormat/>
    <w:uiPriority w:val="0"/>
    <w:rPr>
      <w:rFonts w:hint="default" w:ascii="Times New Roman" w:hAnsi="Times New Roman" w:cs="Times New Roman"/>
      <w:color w:val="000000"/>
      <w:sz w:val="24"/>
      <w:szCs w:val="24"/>
      <w:u w:val="none"/>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 w:type="character" w:customStyle="1" w:styleId="37">
    <w:name w:val="标题 1 字符"/>
    <w:basedOn w:val="13"/>
    <w:link w:val="3"/>
    <w:qFormat/>
    <w:uiPriority w:val="9"/>
    <w:rPr>
      <w:rFonts w:ascii="Times New Roman" w:hAnsi="Times New Roman"/>
      <w:b/>
      <w:bCs/>
      <w:kern w:val="44"/>
      <w:sz w:val="44"/>
      <w:szCs w:val="44"/>
    </w:rPr>
  </w:style>
  <w:style w:type="character" w:customStyle="1" w:styleId="38">
    <w:name w:val="标题 2 字符"/>
    <w:basedOn w:val="13"/>
    <w:link w:val="4"/>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microsoft.com/office/2011/relationships/people" Target="people.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7.e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6.emf"/><Relationship Id="rId17" Type="http://schemas.openxmlformats.org/officeDocument/2006/relationships/oleObject" Target="embeddings/oleObject6.bin"/><Relationship Id="rId16" Type="http://schemas.openxmlformats.org/officeDocument/2006/relationships/image" Target="media/image5.emf"/><Relationship Id="rId15" Type="http://schemas.openxmlformats.org/officeDocument/2006/relationships/oleObject" Target="embeddings/oleObject5.bin"/><Relationship Id="rId14" Type="http://schemas.openxmlformats.org/officeDocument/2006/relationships/image" Target="media/image4.emf"/><Relationship Id="rId13" Type="http://schemas.openxmlformats.org/officeDocument/2006/relationships/oleObject" Target="embeddings/oleObject4.bin"/><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Info spid="_x0000_s1029"/>
    <customShpInfo spid="_x0000_s1030"/>
    <customShpInfo spid="_x0000_s1031"/>
    <customShpInfo spid="_x0000_s1032"/>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62</Pages>
  <Words>23856</Words>
  <Characters>25697</Characters>
  <Lines>22</Lines>
  <Paragraphs>36</Paragraphs>
  <TotalTime>3</TotalTime>
  <ScaleCrop>false</ScaleCrop>
  <LinksUpToDate>false</LinksUpToDate>
  <CharactersWithSpaces>25912</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2020-08-14T09:49:00Z</dcterms:created>
  <dc:creator>曹颖</dc:creator>
  <cp:lastModifiedBy>user</cp:lastModifiedBy>
  <cp:lastPrinted>2022-08-15T10:23:00Z</cp:lastPrinted>
  <dcterms:modified xsi:type="dcterms:W3CDTF">2023-09-11T10:54:20Z</dcterms:modified>
  <dc:title>四川省***</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18C4299B72334D3095585539B3212D20</vt:lpwstr>
  </property>
</Properties>
</file>