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楷体_GB2312" w:hAnsi="楷体_GB2312" w:eastAsia="楷体_GB2312" w:cs="楷体_GB2312"/>
          <w:color w:val="auto"/>
          <w:kern w:val="0"/>
          <w:sz w:val="32"/>
          <w:szCs w:val="32"/>
          <w:lang w:eastAsia="zh-CN"/>
        </w:rPr>
      </w:pPr>
      <w:bookmarkStart w:id="0" w:name="_GoBack"/>
      <w:bookmarkEnd w:id="0"/>
      <w:r>
        <w:rPr>
          <w:rFonts w:hint="eastAsia" w:ascii="方正小标宋简体" w:hAnsi="宋体" w:eastAsia="方正小标宋简体" w:cs="宋体"/>
          <w:color w:val="auto"/>
          <w:kern w:val="0"/>
          <w:sz w:val="44"/>
          <w:szCs w:val="44"/>
          <w:lang w:eastAsia="zh-CN"/>
        </w:rPr>
        <w:t>广元市</w:t>
      </w:r>
      <w:r>
        <w:rPr>
          <w:rFonts w:hint="eastAsia" w:ascii="方正小标宋简体" w:hAnsi="宋体" w:eastAsia="方正小标宋简体" w:cs="宋体"/>
          <w:color w:val="auto"/>
          <w:kern w:val="0"/>
          <w:sz w:val="44"/>
          <w:szCs w:val="44"/>
        </w:rPr>
        <w:t>中央和省级</w:t>
      </w:r>
      <w:r>
        <w:rPr>
          <w:rFonts w:hint="eastAsia" w:ascii="方正小标宋简体" w:hAnsi="宋体" w:eastAsia="方正小标宋简体" w:cs="宋体"/>
          <w:color w:val="auto"/>
          <w:kern w:val="0"/>
          <w:sz w:val="44"/>
          <w:szCs w:val="44"/>
          <w:lang w:eastAsia="zh-CN"/>
        </w:rPr>
        <w:t>、</w:t>
      </w:r>
      <w:r>
        <w:rPr>
          <w:rFonts w:hint="eastAsia" w:ascii="方正小标宋简体" w:hAnsi="宋体" w:eastAsia="方正小标宋简体" w:cs="宋体"/>
          <w:color w:val="auto"/>
          <w:kern w:val="0"/>
          <w:sz w:val="44"/>
          <w:szCs w:val="44"/>
          <w:lang w:val="en-US" w:eastAsia="zh-CN"/>
        </w:rPr>
        <w:t>市级</w:t>
      </w:r>
      <w:r>
        <w:rPr>
          <w:rFonts w:hint="eastAsia" w:ascii="方正小标宋简体" w:hAnsi="宋体" w:eastAsia="方正小标宋简体" w:cs="宋体"/>
          <w:color w:val="auto"/>
          <w:kern w:val="0"/>
          <w:sz w:val="44"/>
          <w:szCs w:val="44"/>
        </w:rPr>
        <w:t>财政困难群众救助补助资金管理</w:t>
      </w:r>
      <w:r>
        <w:rPr>
          <w:rFonts w:hint="eastAsia" w:ascii="方正小标宋简体" w:hAnsi="宋体" w:eastAsia="方正小标宋简体" w:cs="宋体"/>
          <w:color w:val="auto"/>
          <w:kern w:val="0"/>
          <w:sz w:val="44"/>
          <w:szCs w:val="44"/>
          <w:lang w:eastAsia="zh-CN"/>
        </w:rPr>
        <w:t>实施细则</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color w:val="auto"/>
          <w:kern w:val="0"/>
          <w:sz w:val="32"/>
          <w:szCs w:val="32"/>
          <w:lang w:eastAsia="zh-CN"/>
        </w:rPr>
        <w:t>（征求意见稿）</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sz w:val="32"/>
          <w:szCs w:val="32"/>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r>
        <w:rPr>
          <w:rFonts w:hint="eastAsia" w:ascii="黑体" w:hAnsi="宋体" w:eastAsia="黑体"/>
          <w:color w:val="auto"/>
          <w:kern w:val="0"/>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color w:val="auto"/>
        </w:rPr>
      </w:pPr>
      <w:r>
        <w:rPr>
          <w:rFonts w:hint="eastAsia" w:ascii="黑体" w:hAnsi="宋体" w:eastAsia="黑体"/>
          <w:color w:val="auto"/>
          <w:kern w:val="0"/>
        </w:rPr>
        <w:t>第一条</w:t>
      </w:r>
      <w:r>
        <w:rPr>
          <w:rFonts w:hint="eastAsia" w:ascii="仿宋_GB2312" w:hAnsi="宋体"/>
          <w:color w:val="auto"/>
          <w:kern w:val="0"/>
        </w:rPr>
        <w:t xml:space="preserve">  为进一步加强中央和省级</w:t>
      </w:r>
      <w:r>
        <w:rPr>
          <w:rFonts w:hint="eastAsia" w:ascii="仿宋_GB2312" w:hAnsi="宋体"/>
          <w:color w:val="auto"/>
          <w:kern w:val="0"/>
          <w:lang w:eastAsia="zh-CN"/>
        </w:rPr>
        <w:t>、</w:t>
      </w:r>
      <w:r>
        <w:rPr>
          <w:rFonts w:hint="eastAsia" w:ascii="仿宋_GB2312" w:hAnsi="宋体"/>
          <w:color w:val="auto"/>
          <w:kern w:val="0"/>
          <w:u w:val="single"/>
          <w:lang w:eastAsia="zh-CN"/>
        </w:rPr>
        <w:t>市级</w:t>
      </w:r>
      <w:r>
        <w:rPr>
          <w:rFonts w:hint="eastAsia" w:ascii="仿宋_GB2312" w:hAnsi="宋体"/>
          <w:color w:val="auto"/>
          <w:kern w:val="0"/>
        </w:rPr>
        <w:t>财政困难群众救助补助资金</w:t>
      </w:r>
      <w:r>
        <w:rPr>
          <w:rFonts w:hint="eastAsia" w:ascii="仿宋_GB2312"/>
          <w:color w:val="auto"/>
        </w:rPr>
        <w:t>（以下简称“补助资金”）</w:t>
      </w:r>
      <w:r>
        <w:rPr>
          <w:rFonts w:hint="eastAsia" w:ascii="仿宋_GB2312" w:hAnsi="宋体"/>
          <w:color w:val="auto"/>
          <w:kern w:val="0"/>
        </w:rPr>
        <w:t>管理，切实提高资金使用绩效，</w:t>
      </w:r>
      <w:r>
        <w:rPr>
          <w:rFonts w:hint="eastAsia" w:ascii="仿宋_GB2312"/>
          <w:color w:val="auto"/>
        </w:rPr>
        <w:t>根据《中华人民共和国预算法》</w:t>
      </w:r>
      <w:r>
        <w:rPr>
          <w:rFonts w:hint="eastAsia" w:ascii="仿宋_GB2312"/>
          <w:color w:val="auto"/>
          <w:lang w:eastAsia="zh-CN"/>
        </w:rPr>
        <w:t>《</w:t>
      </w:r>
      <w:r>
        <w:rPr>
          <w:rFonts w:hint="eastAsia" w:ascii="仿宋_GB2312"/>
          <w:color w:val="auto"/>
        </w:rPr>
        <w:t>中华人民共和国预算法</w:t>
      </w:r>
      <w:r>
        <w:rPr>
          <w:rFonts w:hint="eastAsia" w:ascii="仿宋_GB2312"/>
          <w:color w:val="auto"/>
          <w:lang w:eastAsia="zh-CN"/>
        </w:rPr>
        <w:t>实施条例》</w:t>
      </w:r>
      <w:r>
        <w:rPr>
          <w:rFonts w:hint="eastAsia" w:ascii="仿宋_GB2312"/>
          <w:color w:val="auto"/>
        </w:rPr>
        <w:t>《财政部 民政部关于印发〈中央财政困难群众救助补助资金管理办法〉的通知》（财社〔2017〕58号）、《财政部 民政部 住房城乡建设部 中国残联关于修改中央财政困难群众救助等补助资金管理办法的通知》（财社〔2019〕114号）、《财政部 民政部关于修改&lt;中央财政困难群众救助补助资金管理办法&gt;的通知》（财社〔2022〕38号）</w:t>
      </w:r>
      <w:r>
        <w:rPr>
          <w:rFonts w:hint="eastAsia" w:ascii="仿宋_GB2312"/>
          <w:b/>
          <w:bCs/>
          <w:color w:val="auto"/>
          <w:lang w:eastAsia="zh-CN"/>
        </w:rPr>
        <w:t>《</w:t>
      </w:r>
      <w:r>
        <w:rPr>
          <w:rFonts w:hint="eastAsia" w:ascii="仿宋_GB2312"/>
          <w:b/>
          <w:bCs/>
          <w:color w:val="auto"/>
          <w:u w:val="single"/>
          <w:lang w:eastAsia="zh-CN"/>
        </w:rPr>
        <w:t>四川省财政厅</w:t>
      </w:r>
      <w:r>
        <w:rPr>
          <w:rFonts w:hint="eastAsia" w:ascii="仿宋_GB2312"/>
          <w:b/>
          <w:bCs/>
          <w:color w:val="auto"/>
          <w:u w:val="single"/>
          <w:lang w:val="en-US" w:eastAsia="zh-CN"/>
        </w:rPr>
        <w:t xml:space="preserve"> 四川省民政厅关于印发</w:t>
      </w:r>
      <w:r>
        <w:rPr>
          <w:rFonts w:hint="eastAsia" w:ascii="仿宋_GB2312"/>
          <w:b/>
          <w:bCs/>
          <w:color w:val="auto"/>
          <w:u w:val="single"/>
        </w:rPr>
        <w:t>&lt;</w:t>
      </w:r>
      <w:r>
        <w:rPr>
          <w:rFonts w:hint="eastAsia" w:ascii="仿宋_GB2312"/>
          <w:b/>
          <w:bCs/>
          <w:color w:val="auto"/>
          <w:u w:val="single"/>
          <w:lang w:eastAsia="zh-CN"/>
        </w:rPr>
        <w:t>四川省</w:t>
      </w:r>
      <w:r>
        <w:rPr>
          <w:rFonts w:hint="eastAsia" w:ascii="仿宋_GB2312"/>
          <w:b/>
          <w:bCs/>
          <w:color w:val="auto"/>
          <w:u w:val="single"/>
        </w:rPr>
        <w:t>中央</w:t>
      </w:r>
      <w:r>
        <w:rPr>
          <w:rFonts w:hint="eastAsia" w:ascii="仿宋_GB2312"/>
          <w:b/>
          <w:bCs/>
          <w:color w:val="auto"/>
          <w:u w:val="single"/>
          <w:lang w:eastAsia="zh-CN"/>
        </w:rPr>
        <w:t>和省级</w:t>
      </w:r>
      <w:r>
        <w:rPr>
          <w:rFonts w:hint="eastAsia" w:ascii="仿宋_GB2312"/>
          <w:b/>
          <w:bCs/>
          <w:color w:val="auto"/>
          <w:u w:val="single"/>
        </w:rPr>
        <w:t>财政困难群众救助补助资金管理办法&gt;</w:t>
      </w:r>
      <w:r>
        <w:rPr>
          <w:rFonts w:hint="eastAsia" w:ascii="仿宋_GB2312"/>
          <w:b/>
          <w:bCs/>
          <w:color w:val="auto"/>
          <w:u w:val="single"/>
          <w:lang w:eastAsia="zh-CN"/>
        </w:rPr>
        <w:t>的通知》</w:t>
      </w:r>
      <w:r>
        <w:rPr>
          <w:rFonts w:hint="eastAsia" w:ascii="仿宋_GB2312"/>
          <w:b/>
          <w:bCs/>
          <w:color w:val="auto"/>
          <w:u w:val="single"/>
        </w:rPr>
        <w:t>（</w:t>
      </w:r>
      <w:r>
        <w:rPr>
          <w:rFonts w:hint="eastAsia" w:ascii="仿宋_GB2312"/>
          <w:b/>
          <w:bCs/>
          <w:color w:val="auto"/>
          <w:u w:val="single"/>
          <w:lang w:eastAsia="zh-CN"/>
        </w:rPr>
        <w:t>川</w:t>
      </w:r>
      <w:r>
        <w:rPr>
          <w:rFonts w:hint="eastAsia" w:ascii="仿宋_GB2312"/>
          <w:b/>
          <w:bCs/>
          <w:color w:val="auto"/>
          <w:u w:val="single"/>
        </w:rPr>
        <w:t>财社〔202</w:t>
      </w:r>
      <w:r>
        <w:rPr>
          <w:rFonts w:hint="eastAsia" w:ascii="仿宋_GB2312"/>
          <w:b/>
          <w:bCs/>
          <w:color w:val="auto"/>
          <w:u w:val="single"/>
          <w:lang w:val="en-US" w:eastAsia="zh-CN"/>
        </w:rPr>
        <w:t>3</w:t>
      </w:r>
      <w:r>
        <w:rPr>
          <w:rFonts w:hint="eastAsia" w:ascii="仿宋_GB2312"/>
          <w:b/>
          <w:bCs/>
          <w:color w:val="auto"/>
          <w:u w:val="single"/>
        </w:rPr>
        <w:t>〕</w:t>
      </w:r>
      <w:r>
        <w:rPr>
          <w:rFonts w:hint="eastAsia" w:ascii="仿宋_GB2312"/>
          <w:b/>
          <w:bCs/>
          <w:color w:val="auto"/>
          <w:u w:val="single"/>
          <w:lang w:val="en-US" w:eastAsia="zh-CN"/>
        </w:rPr>
        <w:t>2</w:t>
      </w:r>
      <w:r>
        <w:rPr>
          <w:rFonts w:hint="eastAsia" w:ascii="仿宋_GB2312"/>
          <w:b/>
          <w:bCs/>
          <w:color w:val="auto"/>
          <w:u w:val="single"/>
        </w:rPr>
        <w:t>8号）</w:t>
      </w:r>
      <w:r>
        <w:rPr>
          <w:rFonts w:hint="eastAsia" w:ascii="仿宋_GB2312" w:hAnsi="Calibri" w:cs="Times New Roman"/>
          <w:color w:val="auto"/>
          <w:lang w:eastAsia="zh-CN"/>
        </w:rPr>
        <w:t>等相</w:t>
      </w:r>
      <w:r>
        <w:rPr>
          <w:rFonts w:hint="eastAsia" w:ascii="仿宋_GB2312"/>
          <w:color w:val="auto"/>
        </w:rPr>
        <w:t>关法律制度规定，结合我</w:t>
      </w:r>
      <w:r>
        <w:rPr>
          <w:rFonts w:hint="eastAsia" w:ascii="仿宋_GB2312"/>
          <w:color w:val="auto"/>
          <w:lang w:eastAsia="zh-CN"/>
        </w:rPr>
        <w:t>市</w:t>
      </w:r>
      <w:r>
        <w:rPr>
          <w:rFonts w:hint="eastAsia" w:ascii="仿宋_GB2312"/>
          <w:color w:val="auto"/>
        </w:rPr>
        <w:t>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rPr>
      </w:pPr>
      <w:r>
        <w:rPr>
          <w:rFonts w:hint="eastAsia" w:ascii="黑体" w:eastAsia="黑体"/>
          <w:color w:val="auto"/>
        </w:rPr>
        <w:t xml:space="preserve">第二条  </w:t>
      </w:r>
      <w:r>
        <w:rPr>
          <w:rFonts w:hint="eastAsia"/>
          <w:color w:val="auto"/>
        </w:rPr>
        <w:t>本办法所称补助资金，是指在城乡低保、特困供养、临时救助、流浪乞讨救助和孤儿生活保障等制度存续期间，中央和省级</w:t>
      </w:r>
      <w:r>
        <w:rPr>
          <w:rFonts w:hint="eastAsia"/>
          <w:color w:val="auto"/>
          <w:lang w:eastAsia="zh-CN"/>
        </w:rPr>
        <w:t>、</w:t>
      </w:r>
      <w:r>
        <w:rPr>
          <w:rFonts w:hint="eastAsia" w:ascii="仿宋_GB2312" w:hAnsi="Times New Roman" w:cs="Times New Roman"/>
          <w:b/>
          <w:bCs/>
          <w:color w:val="auto"/>
          <w:u w:val="single"/>
          <w:lang w:val="en-US" w:eastAsia="zh-CN"/>
        </w:rPr>
        <w:t>市级</w:t>
      </w:r>
      <w:r>
        <w:rPr>
          <w:rFonts w:hint="eastAsia"/>
          <w:color w:val="auto"/>
        </w:rPr>
        <w:t>财政</w:t>
      </w:r>
      <w:r>
        <w:rPr>
          <w:rFonts w:hint="eastAsia" w:ascii="仿宋_GB2312" w:hAnsi="仿宋_GB2312" w:eastAsia="仿宋_GB2312" w:cs="仿宋_GB2312"/>
          <w:color w:val="auto"/>
          <w:sz w:val="32"/>
          <w:szCs w:val="32"/>
          <w:lang w:val="en-US" w:eastAsia="zh-CN"/>
        </w:rPr>
        <w:t>安排用于补助</w:t>
      </w:r>
      <w:r>
        <w:rPr>
          <w:rFonts w:hint="eastAsia" w:ascii="仿宋_GB2312" w:hAnsi="Times New Roman" w:cs="Times New Roman"/>
          <w:b/>
          <w:bCs/>
          <w:color w:val="auto"/>
          <w:u w:val="single"/>
          <w:lang w:val="en-US" w:eastAsia="zh-CN"/>
        </w:rPr>
        <w:t>各县区</w:t>
      </w:r>
      <w:r>
        <w:rPr>
          <w:rFonts w:hint="eastAsia"/>
          <w:color w:val="auto"/>
        </w:rPr>
        <w:t>开展上述困难群众救助和保障相关工作的共同财政事权转移支付资金。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rPr>
      </w:pPr>
      <w:r>
        <w:rPr>
          <w:rFonts w:hint="eastAsia" w:ascii="黑体" w:eastAsia="黑体"/>
          <w:color w:val="auto"/>
        </w:rPr>
        <w:t>第三条</w:t>
      </w:r>
      <w:r>
        <w:rPr>
          <w:rFonts w:hint="eastAsia"/>
          <w:color w:val="auto"/>
        </w:rPr>
        <w:t xml:space="preserve">  补助资金分配管理着力体现“尊重客观需求、强化主观努力、绩效结果挂钩、动态调整平衡”的基本原则，对</w:t>
      </w:r>
      <w:r>
        <w:rPr>
          <w:rFonts w:hint="eastAsia" w:ascii="仿宋_GB2312"/>
          <w:color w:val="auto"/>
        </w:rPr>
        <w:t>保障任务重、困难程度大、努力程度高、管理绩效好的</w:t>
      </w:r>
      <w:r>
        <w:rPr>
          <w:rFonts w:hint="eastAsia" w:ascii="仿宋_GB2312"/>
          <w:color w:val="auto"/>
          <w:u w:val="single"/>
          <w:lang w:eastAsia="zh-CN"/>
        </w:rPr>
        <w:t>县区</w:t>
      </w:r>
      <w:r>
        <w:rPr>
          <w:rFonts w:hint="eastAsia" w:ascii="仿宋_GB2312"/>
          <w:color w:val="auto"/>
        </w:rPr>
        <w:t>给予倾斜</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rPr>
      </w:pPr>
      <w:r>
        <w:rPr>
          <w:rFonts w:hint="eastAsia" w:ascii="黑体" w:eastAsia="黑体"/>
          <w:color w:val="auto"/>
        </w:rPr>
        <w:t>第四条</w:t>
      </w:r>
      <w:r>
        <w:rPr>
          <w:rFonts w:hint="eastAsia"/>
          <w:color w:val="auto"/>
        </w:rPr>
        <w:t xml:space="preserve"> </w:t>
      </w:r>
      <w:r>
        <w:rPr>
          <w:rFonts w:hint="eastAsia"/>
          <w:color w:val="auto"/>
          <w:lang w:val="en-US" w:eastAsia="zh-CN"/>
        </w:rPr>
        <w:t xml:space="preserve"> </w:t>
      </w:r>
      <w:r>
        <w:rPr>
          <w:rFonts w:hint="eastAsia" w:ascii="仿宋_GB2312" w:hAnsi="Times New Roman" w:cs="Times New Roman"/>
          <w:b/>
          <w:bCs/>
          <w:color w:val="auto"/>
          <w:u w:val="single"/>
          <w:lang w:val="en-US" w:eastAsia="zh-CN"/>
        </w:rPr>
        <w:t>市级</w:t>
      </w:r>
      <w:r>
        <w:rPr>
          <w:rFonts w:hint="eastAsia" w:ascii="仿宋_GB2312" w:hAnsi="Times New Roman" w:cs="Times New Roman"/>
          <w:b/>
          <w:bCs/>
          <w:color w:val="auto"/>
          <w:u w:val="single"/>
          <w:lang w:eastAsia="zh-CN"/>
        </w:rPr>
        <w:t>补助资金预算安排由市民政局根据中央和省委、省政府以及市委、市政府有关决策部署提出建议；</w:t>
      </w:r>
      <w:r>
        <w:rPr>
          <w:rFonts w:hint="eastAsia"/>
          <w:color w:val="auto"/>
          <w:lang w:eastAsia="zh-CN"/>
        </w:rPr>
        <w:t>市财政局</w:t>
      </w:r>
      <w:r>
        <w:rPr>
          <w:rFonts w:hint="eastAsia"/>
          <w:color w:val="auto"/>
        </w:rPr>
        <w:t>会同</w:t>
      </w:r>
      <w:r>
        <w:rPr>
          <w:rFonts w:hint="eastAsia"/>
          <w:color w:val="auto"/>
          <w:lang w:eastAsia="zh-CN"/>
        </w:rPr>
        <w:t>市民政局</w:t>
      </w:r>
      <w:r>
        <w:rPr>
          <w:rFonts w:hint="eastAsia"/>
          <w:color w:val="auto"/>
        </w:rPr>
        <w:t>根据</w:t>
      </w:r>
      <w:r>
        <w:rPr>
          <w:rFonts w:hint="eastAsia"/>
          <w:color w:val="auto"/>
          <w:lang w:eastAsia="zh-CN"/>
        </w:rPr>
        <w:t>上级</w:t>
      </w:r>
      <w:r>
        <w:rPr>
          <w:rFonts w:hint="eastAsia"/>
          <w:color w:val="auto"/>
        </w:rPr>
        <w:t>补助资金分配结果、困难群众救助政策调整、</w:t>
      </w:r>
      <w:r>
        <w:rPr>
          <w:rFonts w:hint="default"/>
          <w:color w:val="auto"/>
          <w:lang w:val="en-US"/>
        </w:rPr>
        <w:t>对象人数变化</w:t>
      </w:r>
      <w:r>
        <w:rPr>
          <w:rFonts w:hint="eastAsia"/>
          <w:color w:val="auto"/>
        </w:rPr>
        <w:t>、年度预算安排总体情况等相关因素研究确定。</w:t>
      </w:r>
      <w:r>
        <w:rPr>
          <w:rFonts w:hint="eastAsia" w:ascii="仿宋_GB2312" w:hAnsi="Times New Roman" w:cs="Times New Roman"/>
          <w:b/>
          <w:bCs/>
          <w:color w:val="auto"/>
          <w:u w:val="single"/>
          <w:lang w:val="en-US" w:eastAsia="zh-CN"/>
        </w:rPr>
        <w:t>县级财政部门</w:t>
      </w:r>
      <w:r>
        <w:rPr>
          <w:rFonts w:hint="eastAsia"/>
          <w:color w:val="auto"/>
        </w:rPr>
        <w:t>要切实履行自身支出责任，会同民政部门结合上级补助资金情况，科学合理编制预算，确保困难群众救助工作顺利开展。</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color w:val="auto"/>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r>
        <w:rPr>
          <w:rFonts w:hint="eastAsia" w:ascii="黑体" w:hAnsi="宋体" w:eastAsia="黑体"/>
          <w:color w:val="auto"/>
          <w:kern w:val="0"/>
        </w:rPr>
        <w:t>第二章  使用范围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rPr>
      </w:pPr>
      <w:r>
        <w:rPr>
          <w:rFonts w:hint="eastAsia" w:ascii="黑体" w:hAnsi="宋体" w:eastAsia="黑体"/>
          <w:color w:val="auto"/>
          <w:kern w:val="0"/>
        </w:rPr>
        <w:t xml:space="preserve">第五条 </w:t>
      </w:r>
      <w:r>
        <w:rPr>
          <w:rFonts w:hint="eastAsia"/>
          <w:color w:val="auto"/>
        </w:rPr>
        <w:t xml:space="preserve"> 补助资金统筹用于城乡低保、特困供养、临时救助、流浪乞讨救助和孤儿生活保障等支出。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kern w:val="0"/>
        </w:rPr>
      </w:pPr>
      <w:r>
        <w:rPr>
          <w:rFonts w:hint="eastAsia"/>
          <w:color w:val="auto"/>
          <w:kern w:val="0"/>
        </w:rPr>
        <w:t>（一）为城乡低保对象发放低保金。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kern w:val="0"/>
        </w:rPr>
      </w:pPr>
      <w:r>
        <w:rPr>
          <w:rFonts w:hint="eastAsia"/>
          <w:color w:val="auto"/>
          <w:kern w:val="0"/>
        </w:rPr>
        <w:t>（二）为特困供养人员提供基本生活条件、疾病治疗、办理丧葬事宜，对生活不能自理的特困供养人员提供照料护理。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kern w:val="0"/>
        </w:rPr>
      </w:pPr>
      <w:r>
        <w:rPr>
          <w:rFonts w:hint="eastAsia"/>
          <w:color w:val="auto"/>
          <w:kern w:val="0"/>
        </w:rPr>
        <w:t>（三）为临时救助对象发放临时救助金或实物。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cs="Times New Roman"/>
          <w:b/>
          <w:bCs/>
          <w:color w:val="auto"/>
          <w:u w:val="single"/>
          <w:lang w:val="en-US" w:eastAsia="zh-CN"/>
        </w:rPr>
      </w:pPr>
      <w:r>
        <w:rPr>
          <w:rFonts w:hint="eastAsia"/>
          <w:color w:val="auto"/>
          <w:kern w:val="0"/>
        </w:rPr>
        <w:t>（四）为生活无着的流浪乞讨人员实施主动救助、生活救助、医疗救治、教育矫治、返乡救助、临时安置</w:t>
      </w:r>
      <w:r>
        <w:rPr>
          <w:rFonts w:hint="eastAsia" w:ascii="仿宋_GB2312" w:hAnsi="Times New Roman" w:cs="Times New Roman"/>
          <w:b/>
          <w:bCs/>
          <w:color w:val="auto"/>
          <w:u w:val="single"/>
          <w:lang w:val="en-US" w:eastAsia="zh-CN"/>
        </w:rPr>
        <w:t>（含农村留守儿童、困境儿童、流浪乞讨儿童的应急处置、救助帮扶、监护支持、精神关爱等未成年人社会保护支出）。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cs="Times New Roman"/>
          <w:b/>
          <w:bCs/>
          <w:color w:val="auto"/>
          <w:u w:val="single"/>
          <w:lang w:val="en-US" w:eastAsia="zh-CN"/>
        </w:rPr>
      </w:pPr>
      <w:r>
        <w:rPr>
          <w:rFonts w:hint="eastAsia" w:ascii="仿宋_GB2312" w:hAnsi="Times New Roman" w:cs="Times New Roman"/>
          <w:b/>
          <w:bCs/>
          <w:color w:val="auto"/>
          <w:u w:val="single"/>
          <w:lang w:val="en-US" w:eastAsia="zh-CN"/>
        </w:rPr>
        <w:t>（五）为孤儿（含艾滋病病毒感染儿童、生活困难家庭中的和纳入特困人员救助供养范围的事实无人抚养儿童）发放基本生活费。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C00000"/>
          <w:kern w:val="0"/>
          <w:u w:val="single"/>
        </w:rPr>
      </w:pPr>
      <w:r>
        <w:rPr>
          <w:rFonts w:hint="eastAsia" w:ascii="黑体" w:hAnsi="宋体" w:eastAsia="黑体"/>
          <w:color w:val="auto"/>
          <w:kern w:val="0"/>
        </w:rPr>
        <w:t>第六条</w:t>
      </w:r>
      <w:r>
        <w:rPr>
          <w:rFonts w:hint="eastAsia"/>
          <w:color w:val="auto"/>
          <w:kern w:val="0"/>
        </w:rPr>
        <w:t xml:space="preserve">  各级财政部门、民政部门和经办机构应严格按照规定使用补助资金，确保资金使用安全、规范、高效。不得擅自扩大补助资金使用范围；不得以任何形式挤占、挪用、截留、滞留补助资金；不得向救助对象收取任何管理费用；不得用于工作经费和机构运转、大型设备购置、基础设施维修改造等支出</w:t>
      </w:r>
      <w:r>
        <w:rPr>
          <w:rFonts w:hint="eastAsia"/>
          <w:color w:val="auto"/>
          <w:kern w:val="0"/>
          <w:lang w:eastAsia="zh-CN"/>
        </w:rPr>
        <w:t>。</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r>
        <w:rPr>
          <w:rFonts w:hint="eastAsia" w:ascii="黑体" w:hAnsi="宋体" w:eastAsia="黑体"/>
          <w:color w:val="auto"/>
          <w:kern w:val="0"/>
        </w:rPr>
        <w:t>第三章  资金分配</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黑体" w:hAnsi="Times New Roman" w:eastAsia="黑体"/>
          <w:color w:val="auto"/>
          <w:kern w:val="2"/>
          <w:sz w:val="32"/>
          <w:szCs w:val="32"/>
        </w:rPr>
        <w:t>第七条</w:t>
      </w:r>
      <w:r>
        <w:rPr>
          <w:rFonts w:hint="eastAsia" w:ascii="黑体" w:hAnsi="Times New Roman" w:eastAsia="黑体"/>
          <w:color w:val="auto"/>
          <w:kern w:val="2"/>
          <w:sz w:val="32"/>
          <w:szCs w:val="32"/>
          <w:lang w:val="en-US" w:eastAsia="zh-CN"/>
        </w:rPr>
        <w:t xml:space="preserve">  </w:t>
      </w:r>
      <w:r>
        <w:rPr>
          <w:rFonts w:hint="eastAsia" w:ascii="仿宋_GB2312" w:hAnsi="Times New Roman" w:eastAsia="仿宋_GB2312" w:cs="Times New Roman"/>
          <w:b/>
          <w:bCs/>
          <w:color w:val="auto"/>
          <w:kern w:val="2"/>
          <w:sz w:val="32"/>
          <w:szCs w:val="32"/>
          <w:u w:val="single"/>
          <w:lang w:val="en-US" w:eastAsia="zh-CN" w:bidi="ar-SA"/>
        </w:rPr>
        <w:t>扩权县补助资金由省级财政直达，各区补助资金由市民政局根据各地需求因素、</w:t>
      </w:r>
      <w:r>
        <w:rPr>
          <w:rFonts w:hint="default" w:ascii="仿宋_GB2312" w:hAnsi="Times New Roman" w:eastAsia="仿宋_GB2312" w:cs="Times New Roman"/>
          <w:b/>
          <w:bCs/>
          <w:color w:val="auto"/>
          <w:kern w:val="2"/>
          <w:sz w:val="32"/>
          <w:szCs w:val="32"/>
          <w:u w:val="single"/>
          <w:lang w:val="en-US" w:eastAsia="zh-CN" w:bidi="ar-SA"/>
        </w:rPr>
        <w:t>绩效</w:t>
      </w:r>
      <w:r>
        <w:rPr>
          <w:rFonts w:hint="eastAsia" w:ascii="仿宋_GB2312" w:hAnsi="Times New Roman" w:eastAsia="仿宋_GB2312" w:cs="Times New Roman"/>
          <w:b/>
          <w:bCs/>
          <w:color w:val="auto"/>
          <w:kern w:val="2"/>
          <w:sz w:val="32"/>
          <w:szCs w:val="32"/>
          <w:u w:val="single"/>
          <w:lang w:val="en-US" w:eastAsia="zh-CN" w:bidi="ar-SA"/>
        </w:rPr>
        <w:t>因素</w:t>
      </w:r>
      <w:r>
        <w:rPr>
          <w:rFonts w:hint="default" w:ascii="仿宋_GB2312" w:hAnsi="Times New Roman" w:eastAsia="仿宋_GB2312" w:cs="Times New Roman"/>
          <w:b/>
          <w:bCs/>
          <w:color w:val="auto"/>
          <w:kern w:val="2"/>
          <w:sz w:val="32"/>
          <w:szCs w:val="32"/>
          <w:u w:val="single"/>
          <w:lang w:val="en-US" w:eastAsia="zh-CN" w:bidi="ar-SA"/>
        </w:rPr>
        <w:t>、努力</w:t>
      </w:r>
      <w:r>
        <w:rPr>
          <w:rFonts w:hint="eastAsia" w:ascii="仿宋_GB2312" w:hAnsi="Times New Roman" w:eastAsia="仿宋_GB2312" w:cs="Times New Roman"/>
          <w:b/>
          <w:bCs/>
          <w:color w:val="auto"/>
          <w:kern w:val="2"/>
          <w:sz w:val="32"/>
          <w:szCs w:val="32"/>
          <w:u w:val="single"/>
          <w:lang w:val="en-US" w:eastAsia="zh-CN" w:bidi="ar-SA"/>
        </w:rPr>
        <w:t>因素</w:t>
      </w:r>
      <w:r>
        <w:rPr>
          <w:rFonts w:hint="default" w:ascii="仿宋_GB2312" w:hAnsi="Times New Roman" w:eastAsia="仿宋_GB2312" w:cs="Times New Roman"/>
          <w:b/>
          <w:bCs/>
          <w:color w:val="auto"/>
          <w:kern w:val="2"/>
          <w:sz w:val="32"/>
          <w:szCs w:val="32"/>
          <w:u w:val="single"/>
          <w:lang w:val="en-US" w:eastAsia="zh-CN" w:bidi="ar-SA"/>
        </w:rPr>
        <w:t>、</w:t>
      </w:r>
      <w:r>
        <w:rPr>
          <w:rFonts w:hint="eastAsia" w:ascii="仿宋_GB2312" w:hAnsi="Times New Roman" w:eastAsia="仿宋_GB2312" w:cs="Times New Roman"/>
          <w:b/>
          <w:bCs/>
          <w:color w:val="auto"/>
          <w:kern w:val="2"/>
          <w:sz w:val="32"/>
          <w:szCs w:val="32"/>
          <w:u w:val="single"/>
          <w:lang w:val="en-US" w:eastAsia="zh-CN" w:bidi="ar-SA"/>
        </w:rPr>
        <w:t>财力因素等，采用因素法进行分配，原则上选取困难群众人数(85%)、自身努力程度(10%)、资金管理使用绩效(5%)、财力因素(修正因素)等相关因素进行额度分配，并依据党中央、国务院和省委、省政府以及市委、市政府重大决策部署以及实际情况，对部分地区给予倾斜支持，得到初步分配结果。</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2"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仿宋_GB2312" w:hAnsi="Times New Roman" w:eastAsia="仿宋_GB2312" w:cs="Times New Roman"/>
          <w:b/>
          <w:bCs/>
          <w:color w:val="auto"/>
          <w:kern w:val="2"/>
          <w:sz w:val="32"/>
          <w:szCs w:val="32"/>
          <w:u w:val="single"/>
          <w:lang w:val="en-US" w:eastAsia="zh-CN" w:bidi="ar-SA"/>
        </w:rPr>
        <w:t>（一）基础分配</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2"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仿宋_GB2312" w:hAnsi="Times New Roman" w:eastAsia="仿宋_GB2312" w:cs="Times New Roman"/>
          <w:b/>
          <w:bCs/>
          <w:color w:val="auto"/>
          <w:kern w:val="2"/>
          <w:sz w:val="32"/>
          <w:szCs w:val="32"/>
          <w:u w:val="single"/>
          <w:lang w:val="en-US" w:eastAsia="zh-CN" w:bidi="ar-SA"/>
        </w:rPr>
        <w:t>1.困难群众人数。以三区城乡低保对象、特困供养人员、孤儿和艾滋病病毒感染儿童等困难群众人数作为分配依据，各类对象人数的权重以全市上年度对应救助支出结构进行确定。其中：城乡低保对象人数含实际人数（90%）和修正人数（10%）。</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2"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仿宋_GB2312" w:hAnsi="Times New Roman" w:eastAsia="仿宋_GB2312" w:cs="Times New Roman"/>
          <w:b/>
          <w:bCs/>
          <w:color w:val="auto"/>
          <w:kern w:val="2"/>
          <w:sz w:val="32"/>
          <w:szCs w:val="32"/>
          <w:u w:val="single"/>
          <w:lang w:val="en-US" w:eastAsia="zh-CN" w:bidi="ar-SA"/>
        </w:rPr>
        <w:t>2.自身努力程度。以各区财政本级上年度筹集困难群众救助资金占其年度实际救助支出的比例作为自身努力系数，以各区自身努力系数乘以基本分配结果作为计算依据。</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2"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仿宋_GB2312" w:hAnsi="Times New Roman" w:eastAsia="仿宋_GB2312" w:cs="Times New Roman"/>
          <w:b/>
          <w:bCs/>
          <w:color w:val="auto"/>
          <w:kern w:val="2"/>
          <w:sz w:val="32"/>
          <w:szCs w:val="32"/>
          <w:u w:val="single"/>
          <w:lang w:val="en-US" w:eastAsia="zh-CN" w:bidi="ar-SA"/>
        </w:rPr>
        <w:t>3.资金管理使用绩效。资金管理绩效以困难群众救助工作考核评价结果作为计算依据；资金使用绩效以各区困难群众救助结余资金占其当年困难群众救助总资金来源的比重进行考核计算。</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2"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仿宋_GB2312" w:hAnsi="Times New Roman" w:eastAsia="仿宋_GB2312" w:cs="Times New Roman"/>
          <w:b/>
          <w:bCs/>
          <w:color w:val="auto"/>
          <w:kern w:val="2"/>
          <w:sz w:val="32"/>
          <w:szCs w:val="32"/>
          <w:u w:val="single"/>
          <w:lang w:val="en-US" w:eastAsia="zh-CN" w:bidi="ar-SA"/>
        </w:rPr>
        <w:t>（二）结果修正</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2"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仿宋_GB2312" w:hAnsi="Times New Roman" w:eastAsia="仿宋_GB2312" w:cs="Times New Roman"/>
          <w:b/>
          <w:bCs/>
          <w:color w:val="auto"/>
          <w:kern w:val="2"/>
          <w:sz w:val="32"/>
          <w:szCs w:val="32"/>
          <w:u w:val="single"/>
          <w:lang w:val="en-US" w:eastAsia="zh-CN" w:bidi="ar-SA"/>
        </w:rPr>
        <w:t>1.财力调整。将各区财政供养人员人均财力作为财政困难程度指标对基础分配结果进行修正。为避免财力差异过大对测算结果形成决定性影响，掩盖其他分配因素影响，导致修正结果出现新的不平衡，采取“保底限高”方式对人均财力系数进行同比例压缩修正。</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2"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仿宋_GB2312" w:hAnsi="Times New Roman" w:eastAsia="仿宋_GB2312" w:cs="Times New Roman"/>
          <w:b/>
          <w:bCs/>
          <w:color w:val="auto"/>
          <w:kern w:val="2"/>
          <w:sz w:val="32"/>
          <w:szCs w:val="32"/>
          <w:u w:val="single"/>
          <w:lang w:val="en-US" w:eastAsia="zh-CN" w:bidi="ar-SA"/>
        </w:rPr>
        <w:t>2.资金扣减。对于全年困难群众救助资金支出少于当年中央和省级、市级财政下拨补助资金或者滚存结余较大的区，市级财政将在分配下年补助资金时适当减少对该区的补助。</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2" w:firstLineChars="200"/>
        <w:textAlignment w:val="auto"/>
        <w:rPr>
          <w:rFonts w:hint="eastAsia" w:ascii="仿宋_GB2312" w:hAnsi="Times New Roman" w:eastAsia="仿宋_GB2312" w:cs="Times New Roman"/>
          <w:b/>
          <w:bCs/>
          <w:color w:val="auto"/>
          <w:kern w:val="2"/>
          <w:sz w:val="32"/>
          <w:szCs w:val="32"/>
          <w:u w:val="single"/>
          <w:lang w:val="en-US" w:eastAsia="zh-CN" w:bidi="ar-SA"/>
        </w:rPr>
      </w:pPr>
      <w:r>
        <w:rPr>
          <w:rFonts w:hint="eastAsia" w:ascii="仿宋_GB2312" w:hAnsi="Times New Roman" w:eastAsia="仿宋_GB2312" w:cs="Times New Roman"/>
          <w:b/>
          <w:bCs/>
          <w:color w:val="auto"/>
          <w:kern w:val="2"/>
          <w:sz w:val="32"/>
          <w:szCs w:val="32"/>
          <w:u w:val="single"/>
          <w:lang w:val="en-US" w:eastAsia="zh-CN" w:bidi="ar-SA"/>
        </w:rPr>
        <w:t>3.削峰填谷。结合各区近年支出情况预测当年支出需求，并据此对分配结果进行“削峰填谷”，适当调减补助水平较高地区当年资金，适当调增补助水平较低的困难地区当年资金。</w:t>
      </w:r>
    </w:p>
    <w:p>
      <w:pPr>
        <w:pStyle w:val="12"/>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为督促各地提高困难群众救助工作水平，</w:t>
      </w:r>
      <w:r>
        <w:rPr>
          <w:rFonts w:hint="eastAsia" w:ascii="仿宋_GB2312" w:hAnsi="宋体" w:eastAsia="仿宋_GB2312"/>
          <w:color w:val="auto"/>
          <w:sz w:val="32"/>
          <w:szCs w:val="32"/>
          <w:lang w:val="en-US" w:eastAsia="zh-CN"/>
        </w:rPr>
        <w:t>扎实做好</w:t>
      </w:r>
      <w:r>
        <w:rPr>
          <w:rFonts w:hint="eastAsia" w:ascii="仿宋_GB2312" w:eastAsia="仿宋_GB2312"/>
          <w:color w:val="auto"/>
          <w:sz w:val="32"/>
          <w:szCs w:val="32"/>
          <w:lang w:val="en-US" w:eastAsia="zh-CN"/>
        </w:rPr>
        <w:t>重点</w:t>
      </w:r>
      <w:r>
        <w:rPr>
          <w:rFonts w:hint="eastAsia" w:ascii="仿宋_GB2312" w:hAnsi="宋体" w:eastAsia="仿宋_GB2312"/>
          <w:color w:val="auto"/>
          <w:sz w:val="32"/>
          <w:szCs w:val="32"/>
          <w:lang w:val="en-US" w:eastAsia="zh-CN"/>
        </w:rPr>
        <w:t>审计核查结果应用，在资金</w:t>
      </w:r>
      <w:r>
        <w:rPr>
          <w:rFonts w:hint="eastAsia" w:ascii="仿宋_GB2312" w:eastAsia="仿宋_GB2312"/>
          <w:color w:val="auto"/>
          <w:sz w:val="32"/>
          <w:szCs w:val="32"/>
          <w:lang w:val="en-US" w:eastAsia="zh-CN"/>
        </w:rPr>
        <w:t>测算</w:t>
      </w:r>
      <w:r>
        <w:rPr>
          <w:rFonts w:hint="eastAsia" w:ascii="仿宋_GB2312" w:hAnsi="宋体" w:eastAsia="仿宋_GB2312"/>
          <w:color w:val="auto"/>
          <w:sz w:val="32"/>
          <w:szCs w:val="32"/>
          <w:lang w:val="en-US" w:eastAsia="zh-CN"/>
        </w:rPr>
        <w:t>分配中</w:t>
      </w:r>
      <w:r>
        <w:rPr>
          <w:rFonts w:hint="eastAsia" w:ascii="仿宋_GB2312" w:eastAsia="仿宋_GB2312"/>
          <w:b w:val="0"/>
          <w:bCs w:val="0"/>
          <w:color w:val="auto"/>
          <w:sz w:val="32"/>
          <w:szCs w:val="32"/>
          <w:lang w:eastAsia="zh-CN"/>
        </w:rPr>
        <w:t>适当引入审核调整机制，将民政部、财政部关于困难群众救助工作的管理要求，以及保障对象、资金管理等方面的审计、核查、检查等情况，纳入资金分配统筹考虑。</w:t>
      </w:r>
    </w:p>
    <w:p>
      <w:pPr>
        <w:pStyle w:val="12"/>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b w:val="0"/>
          <w:bCs w:val="0"/>
          <w:color w:val="auto"/>
          <w:sz w:val="32"/>
          <w:szCs w:val="32"/>
          <w:u w:val="none"/>
          <w:lang w:val="en-US" w:eastAsia="zh-CN"/>
        </w:rPr>
      </w:pPr>
      <w:r>
        <w:rPr>
          <w:rFonts w:hint="eastAsia" w:ascii="黑体" w:hAnsi="Times New Roman" w:eastAsia="黑体" w:cs="Times New Roman"/>
          <w:color w:val="auto"/>
          <w:kern w:val="2"/>
          <w:sz w:val="32"/>
          <w:szCs w:val="32"/>
          <w:lang w:val="en-US" w:eastAsia="zh-CN"/>
        </w:rPr>
        <w:t>第八条</w:t>
      </w:r>
      <w:r>
        <w:rPr>
          <w:rFonts w:hint="eastAsia" w:ascii="Times New Roman" w:hAnsi="Times New Roman" w:eastAsia="仿宋_GB2312" w:cs="Times New Roman"/>
          <w:b w:val="0"/>
          <w:bCs w:val="0"/>
          <w:color w:val="auto"/>
          <w:sz w:val="32"/>
          <w:szCs w:val="32"/>
          <w:u w:val="none"/>
          <w:lang w:val="en-US" w:eastAsia="zh-CN"/>
        </w:rPr>
        <w:t xml:space="preserve">  </w:t>
      </w:r>
      <w:r>
        <w:rPr>
          <w:rFonts w:hint="eastAsia" w:ascii="仿宋_GB2312" w:hAnsi="Times New Roman" w:eastAsia="仿宋_GB2312" w:cs="Times New Roman"/>
          <w:b/>
          <w:bCs/>
          <w:color w:val="auto"/>
          <w:kern w:val="2"/>
          <w:sz w:val="32"/>
          <w:szCs w:val="32"/>
          <w:u w:val="single"/>
          <w:lang w:val="en-US" w:eastAsia="zh-CN" w:bidi="ar-SA"/>
        </w:rPr>
        <w:t>在市民政局提出的补助资金初步分配结果基础上，市财政局会同市民政局研究确定补助资金分配方案，</w:t>
      </w:r>
      <w:r>
        <w:rPr>
          <w:rFonts w:hint="eastAsia" w:ascii="Times New Roman" w:hAnsi="Times New Roman" w:eastAsia="仿宋_GB2312" w:cs="Times New Roman"/>
          <w:b w:val="0"/>
          <w:bCs w:val="0"/>
          <w:color w:val="auto"/>
          <w:sz w:val="32"/>
          <w:szCs w:val="32"/>
          <w:u w:val="none"/>
          <w:lang w:val="en-US" w:eastAsia="zh-CN"/>
        </w:rPr>
        <w:t>按规定程序报请市人民政府同意后及时下达各区，</w:t>
      </w:r>
      <w:r>
        <w:rPr>
          <w:rFonts w:hint="eastAsia" w:ascii="仿宋_GB2312" w:eastAsia="仿宋_GB2312"/>
          <w:color w:val="auto"/>
          <w:sz w:val="32"/>
          <w:szCs w:val="32"/>
          <w:u w:val="none"/>
        </w:rPr>
        <w:t>资金分配结果报财政厅、民政厅备案</w:t>
      </w:r>
      <w:r>
        <w:rPr>
          <w:rFonts w:hint="eastAsia" w:ascii="Times New Roman" w:hAnsi="Times New Roman" w:eastAsia="仿宋_GB2312" w:cs="Times New Roman"/>
          <w:b w:val="0"/>
          <w:bCs w:val="0"/>
          <w:color w:val="auto"/>
          <w:sz w:val="32"/>
          <w:szCs w:val="32"/>
          <w:u w:val="none"/>
          <w:lang w:val="en-US" w:eastAsia="zh-CN"/>
        </w:rPr>
        <w:t>。</w:t>
      </w:r>
    </w:p>
    <w:p>
      <w:pPr>
        <w:pStyle w:val="12"/>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eastAsia="仿宋_GB2312"/>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九</w:t>
      </w:r>
      <w:r>
        <w:rPr>
          <w:rFonts w:hint="eastAsia" w:ascii="黑体" w:eastAsia="黑体"/>
          <w:color w:val="auto"/>
          <w:sz w:val="32"/>
          <w:szCs w:val="32"/>
        </w:rPr>
        <w:t xml:space="preserve">条  </w:t>
      </w:r>
      <w:r>
        <w:rPr>
          <w:rFonts w:hint="eastAsia" w:ascii="Times New Roman" w:hAnsi="Times New Roman" w:eastAsia="仿宋_GB2312"/>
          <w:color w:val="auto"/>
          <w:sz w:val="32"/>
          <w:szCs w:val="32"/>
        </w:rPr>
        <w:t>按照</w:t>
      </w:r>
      <w:r>
        <w:rPr>
          <w:rFonts w:hint="eastAsia" w:ascii="仿宋_GB2312" w:eastAsia="仿宋_GB2312"/>
          <w:color w:val="auto"/>
          <w:sz w:val="32"/>
          <w:szCs w:val="32"/>
        </w:rPr>
        <w:t>《中华人民共和国预算法》</w:t>
      </w:r>
      <w:r>
        <w:rPr>
          <w:rFonts w:hint="eastAsia" w:ascii="Times New Roman" w:hAnsi="Times New Roman" w:eastAsia="仿宋_GB2312"/>
          <w:color w:val="auto"/>
          <w:sz w:val="32"/>
          <w:szCs w:val="32"/>
        </w:rPr>
        <w:t>相关规定，</w:t>
      </w:r>
      <w:r>
        <w:rPr>
          <w:rFonts w:hint="eastAsia" w:ascii="Times New Roman" w:hAnsi="Times New Roman" w:eastAsia="仿宋_GB2312"/>
          <w:color w:val="auto"/>
          <w:sz w:val="32"/>
          <w:szCs w:val="32"/>
          <w:lang w:eastAsia="zh-CN"/>
        </w:rPr>
        <w:t>市</w:t>
      </w:r>
      <w:r>
        <w:rPr>
          <w:rFonts w:hint="eastAsia" w:ascii="Times New Roman" w:hAnsi="Times New Roman" w:eastAsia="仿宋_GB2312"/>
          <w:color w:val="auto"/>
          <w:sz w:val="32"/>
          <w:szCs w:val="32"/>
        </w:rPr>
        <w:t>级财政在收到中</w:t>
      </w:r>
      <w:r>
        <w:rPr>
          <w:rFonts w:hint="eastAsia" w:ascii="仿宋_GB2312" w:eastAsia="仿宋_GB2312"/>
          <w:color w:val="auto"/>
          <w:sz w:val="32"/>
          <w:szCs w:val="32"/>
        </w:rPr>
        <w:t>央</w:t>
      </w:r>
      <w:r>
        <w:rPr>
          <w:rFonts w:hint="eastAsia" w:ascii="仿宋_GB2312" w:eastAsia="仿宋_GB2312"/>
          <w:color w:val="auto"/>
          <w:sz w:val="32"/>
          <w:szCs w:val="32"/>
          <w:lang w:eastAsia="zh-CN"/>
        </w:rPr>
        <w:t>和省级</w:t>
      </w:r>
      <w:r>
        <w:rPr>
          <w:rFonts w:hint="eastAsia" w:ascii="仿宋_GB2312" w:eastAsia="仿宋_GB2312"/>
          <w:color w:val="auto"/>
          <w:sz w:val="32"/>
          <w:szCs w:val="32"/>
        </w:rPr>
        <w:t>财政补助资金30日</w:t>
      </w:r>
      <w:r>
        <w:rPr>
          <w:rFonts w:ascii="仿宋_GB2312" w:eastAsia="仿宋_GB2312"/>
          <w:color w:val="auto"/>
          <w:sz w:val="32"/>
          <w:szCs w:val="32"/>
        </w:rPr>
        <w:t>内</w:t>
      </w:r>
      <w:r>
        <w:rPr>
          <w:rFonts w:hint="eastAsia" w:ascii="仿宋_GB2312" w:eastAsia="仿宋_GB2312"/>
          <w:color w:val="auto"/>
          <w:sz w:val="32"/>
          <w:szCs w:val="32"/>
        </w:rPr>
        <w:t>，将中央和省级补助资金</w:t>
      </w:r>
      <w:r>
        <w:rPr>
          <w:rFonts w:ascii="仿宋_GB2312" w:eastAsia="仿宋_GB2312"/>
          <w:color w:val="auto"/>
          <w:sz w:val="32"/>
          <w:szCs w:val="32"/>
        </w:rPr>
        <w:t>下达</w:t>
      </w:r>
      <w:r>
        <w:rPr>
          <w:rFonts w:hint="eastAsia" w:ascii="仿宋_GB2312" w:eastAsia="仿宋_GB2312"/>
          <w:color w:val="auto"/>
          <w:sz w:val="32"/>
          <w:szCs w:val="32"/>
          <w:lang w:eastAsia="zh-CN"/>
        </w:rPr>
        <w:t>各区</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color w:val="auto"/>
          <w:kern w:val="0"/>
        </w:rPr>
      </w:pPr>
      <w:r>
        <w:rPr>
          <w:rFonts w:hint="eastAsia" w:ascii="黑体" w:hAnsi="宋体" w:eastAsia="黑体"/>
          <w:color w:val="auto"/>
          <w:kern w:val="0"/>
        </w:rPr>
        <w:t>第</w:t>
      </w:r>
      <w:r>
        <w:rPr>
          <w:rFonts w:hint="eastAsia" w:ascii="黑体" w:hAnsi="宋体" w:eastAsia="黑体"/>
          <w:color w:val="auto"/>
          <w:kern w:val="0"/>
          <w:lang w:eastAsia="zh-CN"/>
        </w:rPr>
        <w:t>十</w:t>
      </w:r>
      <w:r>
        <w:rPr>
          <w:rFonts w:hint="eastAsia" w:ascii="黑体" w:hAnsi="宋体" w:eastAsia="黑体"/>
          <w:color w:val="auto"/>
          <w:kern w:val="0"/>
        </w:rPr>
        <w:t>条</w:t>
      </w:r>
      <w:r>
        <w:rPr>
          <w:rFonts w:hint="eastAsia"/>
          <w:color w:val="auto"/>
          <w:kern w:val="0"/>
        </w:rPr>
        <w:t xml:space="preserve">  按照预算管理相关规定，</w:t>
      </w:r>
      <w:r>
        <w:rPr>
          <w:rFonts w:hint="eastAsia"/>
          <w:color w:val="auto"/>
          <w:kern w:val="0"/>
          <w:lang w:eastAsia="zh-CN"/>
        </w:rPr>
        <w:t>中央和</w:t>
      </w:r>
      <w:r>
        <w:rPr>
          <w:rFonts w:hint="eastAsia" w:ascii="仿宋_GB2312"/>
          <w:color w:val="auto"/>
        </w:rPr>
        <w:t>省级财政</w:t>
      </w:r>
      <w:r>
        <w:rPr>
          <w:rFonts w:hint="eastAsia"/>
          <w:color w:val="auto"/>
          <w:kern w:val="0"/>
        </w:rPr>
        <w:t>实行补助资金预算提前下达制度。</w:t>
      </w:r>
      <w:r>
        <w:rPr>
          <w:rFonts w:hint="eastAsia"/>
          <w:color w:val="auto"/>
          <w:kern w:val="0"/>
          <w:lang w:eastAsia="zh-CN"/>
        </w:rPr>
        <w:t>市财政局</w:t>
      </w:r>
      <w:r>
        <w:rPr>
          <w:rFonts w:hint="eastAsia"/>
          <w:color w:val="auto"/>
          <w:kern w:val="0"/>
        </w:rPr>
        <w:t>在收到中央</w:t>
      </w:r>
      <w:r>
        <w:rPr>
          <w:rFonts w:hint="eastAsia"/>
          <w:color w:val="auto"/>
          <w:kern w:val="0"/>
          <w:lang w:eastAsia="zh-CN"/>
        </w:rPr>
        <w:t>和省级</w:t>
      </w:r>
      <w:r>
        <w:rPr>
          <w:rFonts w:hint="eastAsia"/>
          <w:color w:val="auto"/>
          <w:kern w:val="0"/>
        </w:rPr>
        <w:t>财政提前下达</w:t>
      </w:r>
      <w:r>
        <w:rPr>
          <w:rFonts w:hint="eastAsia"/>
          <w:color w:val="auto"/>
          <w:kern w:val="0"/>
          <w:lang w:eastAsia="zh-CN"/>
        </w:rPr>
        <w:t>资金</w:t>
      </w:r>
      <w:r>
        <w:rPr>
          <w:rFonts w:hint="eastAsia" w:ascii="仿宋_GB2312"/>
          <w:color w:val="auto"/>
          <w:kern w:val="0"/>
        </w:rPr>
        <w:t>30</w:t>
      </w:r>
      <w:r>
        <w:rPr>
          <w:rFonts w:hint="eastAsia"/>
          <w:color w:val="auto"/>
          <w:kern w:val="0"/>
        </w:rPr>
        <w:t>日内，会同</w:t>
      </w:r>
      <w:r>
        <w:rPr>
          <w:rFonts w:hint="eastAsia"/>
          <w:color w:val="auto"/>
          <w:kern w:val="0"/>
          <w:lang w:eastAsia="zh-CN"/>
        </w:rPr>
        <w:t>市</w:t>
      </w:r>
      <w:r>
        <w:rPr>
          <w:rFonts w:hint="eastAsia"/>
          <w:color w:val="auto"/>
          <w:kern w:val="0"/>
        </w:rPr>
        <w:t>民政</w:t>
      </w:r>
      <w:r>
        <w:rPr>
          <w:rFonts w:hint="eastAsia"/>
          <w:color w:val="auto"/>
          <w:kern w:val="0"/>
          <w:lang w:eastAsia="zh-CN"/>
        </w:rPr>
        <w:t>局</w:t>
      </w:r>
      <w:r>
        <w:rPr>
          <w:rFonts w:hint="eastAsia" w:ascii="仿宋_GB2312"/>
          <w:color w:val="auto"/>
        </w:rPr>
        <w:t>按照不低于当年执行数的</w:t>
      </w:r>
      <w:r>
        <w:rPr>
          <w:rFonts w:hint="eastAsia" w:ascii="仿宋_GB2312"/>
          <w:color w:val="auto"/>
          <w:lang w:val="en-US" w:eastAsia="zh-CN"/>
        </w:rPr>
        <w:t>一定</w:t>
      </w:r>
      <w:r>
        <w:rPr>
          <w:rFonts w:hint="eastAsia" w:ascii="仿宋_GB2312"/>
          <w:color w:val="auto"/>
        </w:rPr>
        <w:t>比例，</w:t>
      </w:r>
      <w:r>
        <w:rPr>
          <w:rFonts w:hint="eastAsia"/>
          <w:color w:val="auto"/>
          <w:kern w:val="0"/>
        </w:rPr>
        <w:t>将下一年度中央和省级补助资金预计数提前下达</w:t>
      </w:r>
      <w:r>
        <w:rPr>
          <w:rFonts w:hint="eastAsia" w:ascii="仿宋_GB2312" w:hAnsi="宋体"/>
          <w:color w:val="auto"/>
          <w:kern w:val="0"/>
          <w:lang w:eastAsia="zh-CN"/>
        </w:rPr>
        <w:t>各区</w:t>
      </w:r>
      <w:r>
        <w:rPr>
          <w:rFonts w:hint="eastAsia"/>
          <w:color w:val="auto"/>
          <w:kern w:val="0"/>
        </w:rPr>
        <w:t>。</w:t>
      </w:r>
      <w:r>
        <w:rPr>
          <w:rFonts w:hint="eastAsia" w:ascii="仿宋_GB2312" w:hAnsi="黑体"/>
          <w:color w:val="auto"/>
          <w:lang w:eastAsia="zh-CN"/>
        </w:rPr>
        <w:t>县（区）</w:t>
      </w:r>
      <w:r>
        <w:rPr>
          <w:rFonts w:hint="eastAsia" w:ascii="仿宋_GB2312" w:hAnsi="黑体"/>
          <w:color w:val="auto"/>
        </w:rPr>
        <w:t>财政部门应当将上级财政提前下达的补助资金预计数编入本级政府预算。</w:t>
      </w:r>
      <w:r>
        <w:rPr>
          <w:rFonts w:hint="eastAsia"/>
          <w:color w:val="auto"/>
          <w:kern w:val="0"/>
        </w:rPr>
        <w:t>提前下达文件报财政厅、民政厅备案。</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color w:val="auto"/>
          <w:kern w:val="0"/>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r>
        <w:rPr>
          <w:rFonts w:hint="eastAsia" w:ascii="黑体" w:hAnsi="宋体" w:eastAsia="黑体"/>
          <w:color w:val="auto"/>
          <w:kern w:val="0"/>
        </w:rPr>
        <w:t>第四章  使用管理</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color w:val="auto"/>
        </w:rPr>
      </w:pPr>
      <w:r>
        <w:rPr>
          <w:rFonts w:hint="eastAsia" w:ascii="黑体" w:hAnsi="宋体" w:eastAsia="黑体"/>
          <w:color w:val="auto"/>
          <w:kern w:val="0"/>
        </w:rPr>
        <w:t>第十</w:t>
      </w:r>
      <w:r>
        <w:rPr>
          <w:rFonts w:hint="eastAsia" w:ascii="黑体" w:hAnsi="宋体" w:eastAsia="黑体"/>
          <w:color w:val="auto"/>
          <w:kern w:val="0"/>
          <w:lang w:eastAsia="zh-CN"/>
        </w:rPr>
        <w:t>一</w:t>
      </w:r>
      <w:r>
        <w:rPr>
          <w:rFonts w:hint="eastAsia" w:ascii="黑体" w:hAnsi="宋体" w:eastAsia="黑体"/>
          <w:color w:val="auto"/>
          <w:kern w:val="0"/>
        </w:rPr>
        <w:t>条</w:t>
      </w:r>
      <w:r>
        <w:rPr>
          <w:rFonts w:hint="eastAsia"/>
          <w:color w:val="auto"/>
          <w:kern w:val="0"/>
        </w:rPr>
        <w:t xml:space="preserve">  </w:t>
      </w:r>
      <w:r>
        <w:rPr>
          <w:rFonts w:hint="eastAsia" w:ascii="仿宋_GB2312"/>
          <w:color w:val="auto"/>
          <w:lang w:eastAsia="zh-CN"/>
        </w:rPr>
        <w:t>县区</w:t>
      </w:r>
      <w:r>
        <w:rPr>
          <w:rFonts w:hint="eastAsia" w:ascii="仿宋_GB2312"/>
          <w:color w:val="auto"/>
        </w:rPr>
        <w:t>财政部门、民政部门要采取切实有效措施，加快预算执行进度。</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Times New Roman" w:cs="Times New Roman"/>
          <w:b/>
          <w:bCs/>
          <w:color w:val="auto"/>
          <w:u w:val="single"/>
          <w:lang w:val="en-US" w:eastAsia="zh-CN"/>
        </w:rPr>
      </w:pPr>
      <w:r>
        <w:rPr>
          <w:rFonts w:hint="eastAsia" w:ascii="黑体" w:hAnsi="宋体" w:eastAsia="黑体"/>
          <w:color w:val="auto"/>
          <w:kern w:val="0"/>
        </w:rPr>
        <w:t>第十</w:t>
      </w:r>
      <w:r>
        <w:rPr>
          <w:rFonts w:hint="eastAsia" w:ascii="黑体" w:hAnsi="宋体" w:eastAsia="黑体"/>
          <w:color w:val="auto"/>
          <w:kern w:val="0"/>
          <w:lang w:eastAsia="zh-CN"/>
        </w:rPr>
        <w:t>二</w:t>
      </w:r>
      <w:r>
        <w:rPr>
          <w:rFonts w:hint="eastAsia" w:ascii="黑体" w:hAnsi="宋体" w:eastAsia="黑体"/>
          <w:color w:val="auto"/>
          <w:kern w:val="0"/>
        </w:rPr>
        <w:t>条</w:t>
      </w:r>
      <w:r>
        <w:rPr>
          <w:rFonts w:hint="eastAsia" w:ascii="仿宋_GB2312"/>
          <w:color w:val="auto"/>
        </w:rPr>
        <w:t xml:space="preserve">  </w:t>
      </w:r>
      <w:r>
        <w:rPr>
          <w:rFonts w:hint="eastAsia"/>
          <w:color w:val="auto"/>
          <w:kern w:val="0"/>
          <w:lang w:eastAsia="zh-CN"/>
        </w:rPr>
        <w:t>县区</w:t>
      </w:r>
      <w:r>
        <w:rPr>
          <w:rFonts w:hint="eastAsia"/>
          <w:color w:val="auto"/>
          <w:kern w:val="0"/>
        </w:rPr>
        <w:t>财政部门、</w:t>
      </w:r>
      <w:r>
        <w:rPr>
          <w:rFonts w:hint="eastAsia" w:ascii="仿宋_GB2312" w:hAnsi="Times New Roman" w:cs="Times New Roman"/>
          <w:color w:val="auto"/>
        </w:rPr>
        <w:t>民政部门</w:t>
      </w:r>
      <w:r>
        <w:rPr>
          <w:rFonts w:hint="eastAsia" w:ascii="仿宋_GB2312" w:hAnsi="Times New Roman" w:cs="Times New Roman"/>
          <w:b/>
          <w:bCs/>
          <w:color w:val="auto"/>
          <w:u w:val="single"/>
          <w:lang w:val="en-US" w:eastAsia="zh-CN"/>
        </w:rPr>
        <w:t>要把保障困难群众基本生活作为财政支出的主要方向，</w:t>
      </w:r>
      <w:r>
        <w:rPr>
          <w:rFonts w:hint="eastAsia"/>
          <w:color w:val="auto"/>
          <w:kern w:val="0"/>
        </w:rPr>
        <w:t>加强补助资金统筹使用，既要加强中央和地方各级财政补助资金的统筹使用，也要加强困难群众救助各项支出的统筹使用</w:t>
      </w:r>
      <w:r>
        <w:rPr>
          <w:rFonts w:hint="eastAsia"/>
          <w:color w:val="auto"/>
          <w:kern w:val="0"/>
          <w:lang w:eastAsia="zh-CN"/>
        </w:rPr>
        <w:t>，</w:t>
      </w:r>
      <w:r>
        <w:rPr>
          <w:rFonts w:hint="eastAsia" w:ascii="仿宋_GB2312" w:hAnsi="Times New Roman" w:cs="Times New Roman"/>
          <w:b/>
          <w:bCs/>
          <w:color w:val="auto"/>
          <w:u w:val="single"/>
          <w:lang w:val="en-US" w:eastAsia="zh-CN"/>
        </w:rPr>
        <w:t>切实履行本级支出责任，扎实做好低保等社会救助兜底保障工作。</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color w:val="auto"/>
          <w:kern w:val="0"/>
        </w:rPr>
      </w:pPr>
      <w:r>
        <w:rPr>
          <w:rFonts w:hint="eastAsia" w:ascii="黑体" w:hAnsi="宋体" w:eastAsia="黑体"/>
          <w:color w:val="auto"/>
          <w:kern w:val="0"/>
        </w:rPr>
        <w:t>第十</w:t>
      </w:r>
      <w:r>
        <w:rPr>
          <w:rFonts w:hint="eastAsia" w:ascii="黑体" w:hAnsi="宋体" w:eastAsia="黑体"/>
          <w:color w:val="auto"/>
          <w:kern w:val="0"/>
          <w:lang w:eastAsia="zh-CN"/>
        </w:rPr>
        <w:t>三</w:t>
      </w:r>
      <w:r>
        <w:rPr>
          <w:rFonts w:hint="eastAsia" w:ascii="黑体" w:hAnsi="宋体" w:eastAsia="黑体"/>
          <w:color w:val="auto"/>
          <w:kern w:val="0"/>
        </w:rPr>
        <w:t xml:space="preserve">条  </w:t>
      </w:r>
      <w:r>
        <w:rPr>
          <w:rFonts w:hint="eastAsia"/>
          <w:color w:val="auto"/>
          <w:kern w:val="0"/>
        </w:rPr>
        <w:t>补助资金按照支出方向单独记账、分别核算。</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Times New Roman" w:cs="Times New Roman"/>
          <w:b/>
          <w:bCs/>
          <w:color w:val="auto"/>
          <w:u w:val="single"/>
          <w:lang w:val="en-US" w:eastAsia="zh-CN"/>
        </w:rPr>
      </w:pPr>
      <w:r>
        <w:rPr>
          <w:rFonts w:hint="eastAsia" w:ascii="黑体" w:hAnsi="宋体" w:eastAsia="黑体"/>
          <w:color w:val="auto"/>
          <w:kern w:val="0"/>
        </w:rPr>
        <w:t>第十</w:t>
      </w:r>
      <w:r>
        <w:rPr>
          <w:rFonts w:hint="eastAsia" w:ascii="黑体" w:hAnsi="宋体" w:eastAsia="黑体"/>
          <w:color w:val="auto"/>
          <w:kern w:val="0"/>
          <w:lang w:eastAsia="zh-CN"/>
        </w:rPr>
        <w:t>四</w:t>
      </w:r>
      <w:r>
        <w:rPr>
          <w:rFonts w:hint="eastAsia" w:ascii="黑体" w:hAnsi="宋体" w:eastAsia="黑体"/>
          <w:color w:val="auto"/>
          <w:kern w:val="0"/>
        </w:rPr>
        <w:t>条</w:t>
      </w:r>
      <w:r>
        <w:rPr>
          <w:rFonts w:hint="eastAsia"/>
          <w:color w:val="auto"/>
          <w:kern w:val="0"/>
        </w:rPr>
        <w:t xml:space="preserve">  </w:t>
      </w:r>
      <w:r>
        <w:rPr>
          <w:rFonts w:hint="eastAsia" w:ascii="仿宋_GB2312"/>
          <w:color w:val="auto"/>
          <w:lang w:eastAsia="zh-CN"/>
        </w:rPr>
        <w:t>县区</w:t>
      </w:r>
      <w:r>
        <w:rPr>
          <w:rFonts w:hint="eastAsia" w:ascii="仿宋_GB2312"/>
          <w:color w:val="auto"/>
        </w:rPr>
        <w:t>民政部门应当严格按照财政部门批复预算执行，不得擅自调整预算。</w:t>
      </w:r>
      <w:r>
        <w:rPr>
          <w:rFonts w:hint="eastAsia" w:ascii="仿宋_GB2312" w:hAnsi="Times New Roman" w:cs="Times New Roman"/>
          <w:b/>
          <w:bCs/>
          <w:color w:val="auto"/>
          <w:u w:val="single"/>
          <w:lang w:val="en-US" w:eastAsia="zh-CN"/>
        </w:rPr>
        <w:t>在年度预算执行过程中，因保障对象增加或减少、保障标准调整等因素需调整低保资金预算的，应根据实际情况商同级财政部门按规定办理。（《最低生活保障规程》第四十二条）</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Calibri" w:hAnsi="Calibri" w:cs="Times New Roman"/>
          <w:color w:val="auto"/>
          <w:kern w:val="0"/>
        </w:rPr>
      </w:pPr>
      <w:r>
        <w:rPr>
          <w:rFonts w:hint="eastAsia" w:ascii="黑体" w:hAnsi="宋体" w:eastAsia="黑体"/>
          <w:color w:val="auto"/>
          <w:kern w:val="0"/>
        </w:rPr>
        <w:t>第十</w:t>
      </w:r>
      <w:r>
        <w:rPr>
          <w:rFonts w:hint="eastAsia" w:ascii="黑体" w:hAnsi="宋体" w:eastAsia="黑体"/>
          <w:color w:val="auto"/>
          <w:kern w:val="0"/>
          <w:lang w:eastAsia="zh-CN"/>
        </w:rPr>
        <w:t>五</w:t>
      </w:r>
      <w:r>
        <w:rPr>
          <w:rFonts w:hint="eastAsia" w:ascii="黑体" w:hAnsi="宋体" w:eastAsia="黑体"/>
          <w:color w:val="auto"/>
          <w:kern w:val="0"/>
        </w:rPr>
        <w:t>条</w:t>
      </w:r>
      <w:r>
        <w:rPr>
          <w:rFonts w:hint="eastAsia"/>
          <w:color w:val="auto"/>
          <w:kern w:val="0"/>
        </w:rPr>
        <w:t xml:space="preserve">  </w:t>
      </w:r>
      <w:r>
        <w:rPr>
          <w:rFonts w:hint="eastAsia" w:ascii="Calibri" w:hAnsi="Calibri" w:cs="Times New Roman"/>
          <w:color w:val="auto"/>
          <w:kern w:val="0"/>
        </w:rPr>
        <w:t>积极盘活财政存量资金，严格控制结转结余规模，提高资金使用绩效。补助资金使用结余按照结余资金管理相关规定执行。</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仿宋_GB2312" w:hAnsi="Times New Roman" w:cs="Times New Roman"/>
          <w:b/>
          <w:bCs/>
          <w:color w:val="auto"/>
          <w:u w:val="single"/>
          <w:lang w:val="en-US" w:eastAsia="zh-CN"/>
        </w:rPr>
      </w:pPr>
      <w:r>
        <w:rPr>
          <w:rFonts w:hint="eastAsia" w:ascii="黑体" w:hAnsi="宋体" w:eastAsia="黑体" w:cs="Times New Roman"/>
          <w:color w:val="auto"/>
          <w:kern w:val="0"/>
        </w:rPr>
        <w:t>第十</w:t>
      </w:r>
      <w:r>
        <w:rPr>
          <w:rFonts w:hint="eastAsia" w:ascii="黑体" w:hAnsi="宋体" w:eastAsia="黑体" w:cs="Times New Roman"/>
          <w:color w:val="auto"/>
          <w:kern w:val="0"/>
          <w:lang w:eastAsia="zh-CN"/>
        </w:rPr>
        <w:t>六</w:t>
      </w:r>
      <w:r>
        <w:rPr>
          <w:rFonts w:hint="eastAsia" w:ascii="黑体" w:hAnsi="宋体" w:eastAsia="黑体" w:cs="Times New Roman"/>
          <w:color w:val="auto"/>
          <w:kern w:val="0"/>
        </w:rPr>
        <w:t xml:space="preserve">条  </w:t>
      </w:r>
      <w:r>
        <w:rPr>
          <w:rFonts w:hint="eastAsia" w:ascii="Calibri" w:hAnsi="Calibri" w:cs="Times New Roman"/>
          <w:color w:val="auto"/>
          <w:kern w:val="0"/>
        </w:rPr>
        <w:t>补助资金按照直达资金有关规定管理。属于政府采购管理范围的，应按照政府采购有关规定执行。鼓励各地按规定</w:t>
      </w:r>
      <w:r>
        <w:rPr>
          <w:rFonts w:hint="eastAsia" w:ascii="仿宋_GB2312" w:hAnsi="Times New Roman" w:cs="Times New Roman"/>
          <w:b/>
          <w:bCs/>
          <w:color w:val="auto"/>
          <w:u w:val="single"/>
          <w:lang w:val="en-US" w:eastAsia="zh-CN"/>
        </w:rPr>
        <w:t>将社会救助服务中的事务性、服务性工作纳入政府购买服务范围，支持乡镇（街道）、村（社区）加强社会救助服务供给，所需经费从已有社会救助工作经费或困难群众救助补助资金等社会救助专项经费中列支，支出比例不超过上年度困难群众救助资金支出总额的3%。（《改革完善社会救助制度的实施意见》第十六条）</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Calibri" w:hAnsi="Calibri" w:cs="Times New Roman"/>
          <w:color w:val="auto"/>
          <w:kern w:val="0"/>
        </w:rPr>
      </w:pPr>
      <w:r>
        <w:rPr>
          <w:rFonts w:hint="eastAsia" w:ascii="黑体" w:hAnsi="宋体" w:eastAsia="黑体" w:cs="Times New Roman"/>
          <w:color w:val="auto"/>
          <w:kern w:val="0"/>
        </w:rPr>
        <w:t>第十</w:t>
      </w:r>
      <w:r>
        <w:rPr>
          <w:rFonts w:hint="eastAsia" w:ascii="黑体" w:hAnsi="宋体" w:eastAsia="黑体" w:cs="Times New Roman"/>
          <w:color w:val="auto"/>
          <w:kern w:val="0"/>
          <w:lang w:eastAsia="zh-CN"/>
        </w:rPr>
        <w:t>七</w:t>
      </w:r>
      <w:r>
        <w:rPr>
          <w:rFonts w:hint="eastAsia" w:ascii="黑体" w:hAnsi="宋体" w:eastAsia="黑体" w:cs="Times New Roman"/>
          <w:color w:val="auto"/>
          <w:kern w:val="0"/>
        </w:rPr>
        <w:t xml:space="preserve">条  </w:t>
      </w:r>
      <w:r>
        <w:rPr>
          <w:rFonts w:hint="eastAsia" w:ascii="Calibri" w:hAnsi="Calibri" w:cs="Times New Roman"/>
          <w:color w:val="auto"/>
          <w:kern w:val="0"/>
        </w:rPr>
        <w:t>补助资金支付严格执行国库集中支付制度。符合惠民惠农财政补贴资金“一卡通”管理相关规定的，按规定执行。</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Calibri" w:hAnsi="Calibri" w:cs="Times New Roman"/>
          <w:color w:val="auto"/>
          <w:kern w:val="0"/>
        </w:rPr>
      </w:pPr>
      <w:r>
        <w:rPr>
          <w:rFonts w:hint="eastAsia" w:ascii="Calibri" w:hAnsi="Calibri" w:cs="Times New Roman"/>
          <w:color w:val="auto"/>
          <w:kern w:val="0"/>
        </w:rPr>
        <w:t>（一）城乡低保、分散供养特困救助、临时救助等补助资金原则上应支付到救助对象个人账户；分散养育孤儿和艾滋病病毒感染儿童基本生活补助资金应支付到救助对象本人或其监护人个人账户。</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Calibri" w:hAnsi="Calibri" w:cs="Times New Roman"/>
          <w:color w:val="auto"/>
          <w:kern w:val="0"/>
        </w:rPr>
      </w:pPr>
      <w:r>
        <w:rPr>
          <w:rFonts w:hint="eastAsia" w:ascii="Calibri" w:hAnsi="Calibri" w:cs="Times New Roman"/>
          <w:color w:val="auto"/>
          <w:kern w:val="0"/>
        </w:rPr>
        <w:t>（二）集中供养特困救助补助资金应统一支付到供养服务机构集体账户；集中养育孤儿和艾滋病病毒感染儿童基本生活费应统一支付到福利机构集体账户。</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cs="Times New Roman"/>
          <w:b/>
          <w:bCs/>
          <w:color w:val="auto"/>
          <w:u w:val="single"/>
          <w:lang w:val="en-US" w:eastAsia="zh-CN"/>
        </w:rPr>
      </w:pPr>
      <w:r>
        <w:rPr>
          <w:rFonts w:hint="eastAsia" w:ascii="仿宋_GB2312" w:hAnsi="Times New Roman" w:cs="Times New Roman"/>
          <w:b/>
          <w:bCs/>
          <w:color w:val="auto"/>
          <w:u w:val="single"/>
          <w:lang w:val="en-US" w:eastAsia="zh-CN"/>
        </w:rPr>
        <w:t>（三）县区人民政府应将政府设立的特困供养服务机构运转、特困人员救助供养等资金列入财政预算，确保特困人员供养服务机构有序运行。特困人员救助供养金中的照料护理费用，由县级民政部门统筹用于购买特困人员照料护理服务。集中供养的，统一由供养服务机构用于照料护理开支；分散供养的，由乡镇人民政府（街道办事处）按照照料服务协议，用于照料护理费用开支。（《特困供养工作规程》第五十三、五十四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Times New Roman" w:cs="Times New Roman"/>
          <w:b/>
          <w:bCs/>
          <w:color w:val="auto"/>
          <w:u w:val="single"/>
          <w:lang w:val="en-US" w:eastAsia="zh-CN"/>
        </w:rPr>
      </w:pPr>
      <w:r>
        <w:rPr>
          <w:rFonts w:hint="eastAsia" w:ascii="仿宋_GB2312" w:hAnsi="Times New Roman" w:cs="Times New Roman"/>
          <w:b/>
          <w:bCs/>
          <w:color w:val="auto"/>
          <w:u w:val="single"/>
          <w:lang w:val="en-US" w:eastAsia="zh-CN"/>
        </w:rPr>
        <w:t>（四）为提高临时救助时效性，县区应根据下辖各乡镇（街道）人口数量，按不低于人均1元的标准划拨一定金额的临时救助资金作为临时救助备用金，用以发放急难型临时救助。（《临时救助工作规程》第二十五条）</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r>
        <w:rPr>
          <w:rFonts w:hint="eastAsia" w:ascii="黑体" w:hAnsi="宋体" w:eastAsia="黑体"/>
          <w:color w:val="auto"/>
          <w:kern w:val="0"/>
        </w:rPr>
        <w:t>第五章  绩效管理</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color w:val="auto"/>
        </w:rPr>
      </w:pPr>
      <w:r>
        <w:rPr>
          <w:rFonts w:hint="eastAsia" w:ascii="黑体" w:eastAsia="黑体"/>
          <w:color w:val="auto"/>
        </w:rPr>
        <w:t>第十</w:t>
      </w:r>
      <w:r>
        <w:rPr>
          <w:rFonts w:hint="eastAsia" w:ascii="黑体" w:eastAsia="黑体"/>
          <w:color w:val="auto"/>
          <w:lang w:eastAsia="zh-CN"/>
        </w:rPr>
        <w:t>八</w:t>
      </w:r>
      <w:r>
        <w:rPr>
          <w:rFonts w:hint="eastAsia" w:ascii="黑体" w:eastAsia="黑体"/>
          <w:color w:val="auto"/>
        </w:rPr>
        <w:t>条</w:t>
      </w:r>
      <w:r>
        <w:rPr>
          <w:rFonts w:hint="eastAsia"/>
          <w:color w:val="auto"/>
        </w:rPr>
        <w:t xml:space="preserve">  </w:t>
      </w:r>
      <w:r>
        <w:rPr>
          <w:rFonts w:hint="eastAsia" w:ascii="仿宋_GB2312"/>
          <w:color w:val="auto"/>
        </w:rPr>
        <w:t>各级财政部门、民政部门按规定对补助资金实施全过程预算绩效管理。</w:t>
      </w:r>
    </w:p>
    <w:p>
      <w:pPr>
        <w:pStyle w:val="12"/>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Times New Roman" w:eastAsia="仿宋_GB2312"/>
          <w:color w:val="auto"/>
          <w:kern w:val="2"/>
          <w:sz w:val="32"/>
          <w:szCs w:val="32"/>
          <w:lang w:eastAsia="zh-CN"/>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九</w:t>
      </w:r>
      <w:r>
        <w:rPr>
          <w:rFonts w:hint="eastAsia" w:ascii="黑体" w:hAnsi="黑体" w:eastAsia="黑体"/>
          <w:color w:val="auto"/>
          <w:sz w:val="32"/>
          <w:szCs w:val="32"/>
        </w:rPr>
        <w:t>条</w:t>
      </w:r>
      <w:r>
        <w:rPr>
          <w:rFonts w:hint="eastAsia" w:ascii="仿宋_GB2312" w:hAnsi="Times New Roman" w:eastAsia="仿宋_GB2312"/>
          <w:color w:val="auto"/>
          <w:kern w:val="2"/>
          <w:sz w:val="32"/>
          <w:szCs w:val="32"/>
        </w:rPr>
        <w:t xml:space="preserve">  每年编制年度预算前，</w:t>
      </w:r>
      <w:r>
        <w:rPr>
          <w:rFonts w:hint="eastAsia" w:ascii="仿宋_GB2312" w:hAnsi="Times New Roman" w:eastAsia="仿宋_GB2312"/>
          <w:color w:val="auto"/>
          <w:kern w:val="2"/>
          <w:sz w:val="32"/>
          <w:szCs w:val="32"/>
          <w:lang w:eastAsia="zh-CN"/>
        </w:rPr>
        <w:t>市民政局、市财政局按要求对</w:t>
      </w:r>
      <w:r>
        <w:rPr>
          <w:rFonts w:hint="eastAsia" w:ascii="仿宋_GB2312" w:hAnsi="仿宋_GB2312" w:eastAsia="仿宋_GB2312" w:cs="仿宋_GB2312"/>
          <w:color w:val="auto"/>
          <w:sz w:val="32"/>
          <w:szCs w:val="32"/>
        </w:rPr>
        <w:t>转移支付项目开展绩效评估</w:t>
      </w:r>
      <w:r>
        <w:rPr>
          <w:rFonts w:hint="eastAsia" w:ascii="仿宋_GB2312" w:hAnsi="仿宋_GB2312" w:eastAsia="仿宋_GB2312" w:cs="仿宋_GB2312"/>
          <w:color w:val="auto"/>
          <w:sz w:val="32"/>
          <w:szCs w:val="32"/>
          <w:lang w:eastAsia="zh-CN"/>
        </w:rPr>
        <w:t>，并将其</w:t>
      </w:r>
      <w:r>
        <w:rPr>
          <w:rFonts w:hint="eastAsia" w:ascii="仿宋_GB2312" w:hAnsi="仿宋_GB2312" w:eastAsia="仿宋_GB2312" w:cs="仿宋_GB2312"/>
          <w:color w:val="auto"/>
          <w:sz w:val="32"/>
          <w:szCs w:val="32"/>
        </w:rPr>
        <w:t>作为转移支付设立、延续和预算安排的重要依据。</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color w:val="auto"/>
        </w:rPr>
      </w:pPr>
      <w:r>
        <w:rPr>
          <w:rFonts w:hint="eastAsia" w:ascii="黑体" w:eastAsia="黑体"/>
          <w:color w:val="auto"/>
        </w:rPr>
        <w:t>第</w:t>
      </w:r>
      <w:r>
        <w:rPr>
          <w:rFonts w:hint="eastAsia" w:ascii="黑体" w:eastAsia="黑体"/>
          <w:color w:val="auto"/>
          <w:lang w:eastAsia="zh-CN"/>
        </w:rPr>
        <w:t>二十</w:t>
      </w:r>
      <w:r>
        <w:rPr>
          <w:rFonts w:hint="eastAsia" w:ascii="黑体" w:eastAsia="黑体"/>
          <w:color w:val="auto"/>
        </w:rPr>
        <w:t>条</w:t>
      </w:r>
      <w:r>
        <w:rPr>
          <w:rFonts w:hint="eastAsia" w:ascii="仿宋_GB2312"/>
          <w:color w:val="auto"/>
        </w:rPr>
        <w:t xml:space="preserve">  强化绩效目标设定、审核和下达。补助资金按规定编制绩效目标，明确资金与工作预期达到效果。</w:t>
      </w:r>
      <w:r>
        <w:rPr>
          <w:rFonts w:hint="eastAsia" w:ascii="仿宋_GB2312"/>
          <w:color w:val="auto"/>
          <w:lang w:eastAsia="zh-CN"/>
        </w:rPr>
        <w:t>市</w:t>
      </w:r>
      <w:r>
        <w:rPr>
          <w:rFonts w:hint="eastAsia" w:ascii="仿宋_GB2312"/>
          <w:color w:val="auto"/>
        </w:rPr>
        <w:t>级财政正式下达补助资金时，按规定下达绩效目标，并将其作为绩效监控和绩效评价的依据。</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color w:val="auto"/>
        </w:rPr>
      </w:pPr>
      <w:r>
        <w:rPr>
          <w:rFonts w:hint="eastAsia" w:ascii="黑体" w:eastAsia="黑体"/>
          <w:color w:val="auto"/>
        </w:rPr>
        <w:t>第</w:t>
      </w:r>
      <w:r>
        <w:rPr>
          <w:rFonts w:hint="eastAsia" w:ascii="黑体" w:eastAsia="黑体"/>
          <w:color w:val="auto"/>
          <w:lang w:eastAsia="zh-CN"/>
        </w:rPr>
        <w:t>二十一</w:t>
      </w:r>
      <w:r>
        <w:rPr>
          <w:rFonts w:hint="eastAsia" w:ascii="黑体" w:eastAsia="黑体"/>
          <w:color w:val="auto"/>
        </w:rPr>
        <w:t>条</w:t>
      </w:r>
      <w:r>
        <w:rPr>
          <w:rFonts w:hint="eastAsia"/>
          <w:color w:val="auto"/>
        </w:rPr>
        <w:t xml:space="preserve">  年度预算执行过程中，</w:t>
      </w:r>
      <w:r>
        <w:rPr>
          <w:rFonts w:hint="eastAsia"/>
          <w:color w:val="auto"/>
          <w:lang w:eastAsia="zh-CN"/>
        </w:rPr>
        <w:t>市民政局</w:t>
      </w:r>
      <w:r>
        <w:rPr>
          <w:rFonts w:hint="eastAsia"/>
          <w:color w:val="auto"/>
        </w:rPr>
        <w:t>会同</w:t>
      </w:r>
      <w:r>
        <w:rPr>
          <w:rFonts w:hint="eastAsia"/>
          <w:color w:val="auto"/>
          <w:lang w:eastAsia="zh-CN"/>
        </w:rPr>
        <w:t>市财政局</w:t>
      </w:r>
      <w:r>
        <w:rPr>
          <w:rFonts w:hint="eastAsia"/>
          <w:color w:val="auto"/>
        </w:rPr>
        <w:t>指导</w:t>
      </w:r>
      <w:r>
        <w:rPr>
          <w:rFonts w:hint="eastAsia" w:ascii="仿宋_GB2312" w:hAnsi="宋体"/>
          <w:color w:val="auto"/>
          <w:kern w:val="0"/>
          <w:lang w:eastAsia="zh-CN"/>
        </w:rPr>
        <w:t>县区</w:t>
      </w:r>
      <w:r>
        <w:rPr>
          <w:rFonts w:hint="eastAsia"/>
          <w:color w:val="auto"/>
        </w:rPr>
        <w:t>民政部门、财政部门对绩效目标实现情况进行监控，确保绩效目标如期实现。</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color w:val="auto"/>
        </w:rPr>
      </w:pPr>
      <w:r>
        <w:rPr>
          <w:rFonts w:hint="eastAsia" w:ascii="黑体" w:eastAsia="黑体"/>
          <w:color w:val="auto"/>
        </w:rPr>
        <w:t>第</w:t>
      </w:r>
      <w:r>
        <w:rPr>
          <w:rFonts w:hint="eastAsia" w:ascii="黑体" w:eastAsia="黑体"/>
          <w:color w:val="auto"/>
          <w:lang w:eastAsia="zh-CN"/>
        </w:rPr>
        <w:t>二十二</w:t>
      </w:r>
      <w:r>
        <w:rPr>
          <w:rFonts w:hint="eastAsia" w:ascii="黑体" w:eastAsia="黑体"/>
          <w:color w:val="auto"/>
        </w:rPr>
        <w:t>条</w:t>
      </w:r>
      <w:r>
        <w:rPr>
          <w:rFonts w:hint="eastAsia"/>
          <w:color w:val="auto"/>
        </w:rPr>
        <w:t xml:space="preserve">  </w:t>
      </w:r>
      <w:r>
        <w:rPr>
          <w:rFonts w:hint="eastAsia" w:ascii="仿宋_GB2312"/>
          <w:color w:val="auto"/>
        </w:rPr>
        <w:t>年度预算执行结束后，</w:t>
      </w:r>
      <w:r>
        <w:rPr>
          <w:rFonts w:hint="eastAsia" w:ascii="仿宋_GB2312"/>
          <w:color w:val="auto"/>
          <w:lang w:eastAsia="zh-CN"/>
        </w:rPr>
        <w:t>县区</w:t>
      </w:r>
      <w:r>
        <w:rPr>
          <w:rFonts w:hint="eastAsia" w:ascii="仿宋_GB2312"/>
          <w:color w:val="auto"/>
        </w:rPr>
        <w:t>财政部门应会同民政部门组织做好本行政区域（含扩权县）补助资金绩效目标自评工作，将绩效自评结果报送</w:t>
      </w:r>
      <w:r>
        <w:rPr>
          <w:rFonts w:hint="eastAsia" w:ascii="仿宋_GB2312"/>
          <w:color w:val="auto"/>
          <w:lang w:eastAsia="zh-CN"/>
        </w:rPr>
        <w:t>市财政局</w:t>
      </w:r>
      <w:r>
        <w:rPr>
          <w:rFonts w:hint="eastAsia" w:ascii="仿宋_GB2312"/>
          <w:color w:val="auto"/>
        </w:rPr>
        <w:t>、</w:t>
      </w:r>
      <w:r>
        <w:rPr>
          <w:rFonts w:hint="eastAsia" w:ascii="仿宋_GB2312"/>
          <w:color w:val="auto"/>
          <w:lang w:eastAsia="zh-CN"/>
        </w:rPr>
        <w:t>市民政局</w:t>
      </w:r>
      <w:r>
        <w:rPr>
          <w:rFonts w:hint="eastAsia" w:ascii="仿宋_GB2312"/>
          <w:color w:val="auto"/>
        </w:rPr>
        <w:t>。</w:t>
      </w:r>
      <w:r>
        <w:rPr>
          <w:rFonts w:hint="eastAsia" w:ascii="仿宋_GB2312"/>
          <w:color w:val="auto"/>
          <w:lang w:eastAsia="zh-CN"/>
        </w:rPr>
        <w:t>市财政局、市民政局</w:t>
      </w:r>
      <w:r>
        <w:rPr>
          <w:rFonts w:hint="eastAsia" w:ascii="仿宋_GB2312"/>
          <w:color w:val="auto"/>
        </w:rPr>
        <w:t>根据工作需要适时组织开展补助资金重点绩效评价。评价内容包括预算执行、合规安全、使用绩效等。绩效评价结果将作为完善政策、预算安排、分配资金、改进管理的重要依据。</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r>
        <w:rPr>
          <w:rFonts w:hint="eastAsia" w:ascii="黑体" w:hAnsi="宋体" w:eastAsia="黑体"/>
          <w:color w:val="auto"/>
          <w:kern w:val="0"/>
        </w:rPr>
        <w:t>第六章  监督检查</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color w:val="auto"/>
          <w:kern w:val="0"/>
        </w:rPr>
      </w:pPr>
      <w:r>
        <w:rPr>
          <w:rFonts w:hint="eastAsia" w:ascii="黑体" w:hAnsi="宋体" w:eastAsia="黑体"/>
          <w:color w:val="auto"/>
          <w:kern w:val="0"/>
        </w:rPr>
        <w:t>第二十</w:t>
      </w:r>
      <w:r>
        <w:rPr>
          <w:rFonts w:hint="eastAsia" w:ascii="黑体" w:hAnsi="宋体" w:eastAsia="黑体"/>
          <w:color w:val="auto"/>
          <w:kern w:val="0"/>
          <w:lang w:eastAsia="zh-CN"/>
        </w:rPr>
        <w:t>三</w:t>
      </w:r>
      <w:r>
        <w:rPr>
          <w:rFonts w:hint="eastAsia" w:ascii="黑体" w:hAnsi="宋体" w:eastAsia="黑体"/>
          <w:color w:val="auto"/>
          <w:kern w:val="0"/>
        </w:rPr>
        <w:t>条</w:t>
      </w:r>
      <w:r>
        <w:rPr>
          <w:rFonts w:hint="eastAsia"/>
          <w:color w:val="auto"/>
          <w:kern w:val="0"/>
        </w:rPr>
        <w:t xml:space="preserve">  </w:t>
      </w:r>
      <w:r>
        <w:rPr>
          <w:rFonts w:hint="eastAsia" w:ascii="仿宋_GB2312"/>
          <w:color w:val="auto"/>
        </w:rPr>
        <w:t>各级财政部门、民政部门应提高防范和化解财政风险意识，加强内控机制建设，强化流程监控、依法合规分配和使用资金，实行不相容岗位（职责）分离控制。</w:t>
      </w:r>
    </w:p>
    <w:p>
      <w:pPr>
        <w:pStyle w:val="12"/>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Times New Roman" w:eastAsia="仿宋_GB2312"/>
          <w:color w:val="auto"/>
          <w:kern w:val="2"/>
          <w:sz w:val="32"/>
          <w:szCs w:val="32"/>
        </w:rPr>
      </w:pPr>
      <w:r>
        <w:rPr>
          <w:rFonts w:hint="eastAsia" w:ascii="黑体" w:eastAsia="黑体"/>
          <w:color w:val="auto"/>
          <w:sz w:val="32"/>
          <w:szCs w:val="32"/>
        </w:rPr>
        <w:t>第二十</w:t>
      </w:r>
      <w:r>
        <w:rPr>
          <w:rFonts w:hint="eastAsia" w:ascii="黑体" w:eastAsia="黑体"/>
          <w:color w:val="auto"/>
          <w:sz w:val="32"/>
          <w:szCs w:val="32"/>
          <w:lang w:eastAsia="zh-CN"/>
        </w:rPr>
        <w:t>四</w:t>
      </w:r>
      <w:r>
        <w:rPr>
          <w:rFonts w:hint="eastAsia" w:ascii="黑体" w:eastAsia="黑体"/>
          <w:color w:val="auto"/>
          <w:sz w:val="32"/>
          <w:szCs w:val="32"/>
        </w:rPr>
        <w:t>条</w:t>
      </w:r>
      <w:r>
        <w:rPr>
          <w:rFonts w:hint="eastAsia" w:ascii="仿宋_GB2312" w:hAnsi="Times New Roman" w:eastAsia="仿宋_GB2312"/>
          <w:color w:val="auto"/>
          <w:kern w:val="2"/>
          <w:sz w:val="32"/>
          <w:szCs w:val="32"/>
        </w:rPr>
        <w:t xml:space="preserve">  各级民政部门、财政部门按照“谁主管谁负责、谁使用谁负责”原则落实监管责任，定期或不定期对补助资金的使用管理情况进行跟踪检查，及时发现和纠正有关问题，确保专款专用。</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color w:val="auto"/>
          <w:kern w:val="0"/>
        </w:rPr>
      </w:pPr>
      <w:r>
        <w:rPr>
          <w:rFonts w:hint="eastAsia" w:ascii="黑体" w:hAnsi="宋体" w:eastAsia="黑体"/>
          <w:color w:val="auto"/>
          <w:kern w:val="0"/>
        </w:rPr>
        <w:t>第二十</w:t>
      </w:r>
      <w:r>
        <w:rPr>
          <w:rFonts w:hint="eastAsia" w:ascii="黑体" w:hAnsi="宋体" w:eastAsia="黑体"/>
          <w:color w:val="auto"/>
          <w:kern w:val="0"/>
          <w:lang w:eastAsia="zh-CN"/>
        </w:rPr>
        <w:t>五</w:t>
      </w:r>
      <w:r>
        <w:rPr>
          <w:rFonts w:hint="eastAsia" w:ascii="黑体" w:hAnsi="宋体" w:eastAsia="黑体"/>
          <w:color w:val="auto"/>
          <w:kern w:val="0"/>
        </w:rPr>
        <w:t>条</w:t>
      </w:r>
      <w:r>
        <w:rPr>
          <w:rFonts w:hint="eastAsia"/>
          <w:color w:val="auto"/>
          <w:kern w:val="0"/>
        </w:rPr>
        <w:t xml:space="preserve">  </w:t>
      </w:r>
      <w:r>
        <w:rPr>
          <w:rFonts w:hint="eastAsia" w:ascii="仿宋_GB2312"/>
          <w:color w:val="auto"/>
        </w:rPr>
        <w:t>补助资金使用管理应当严格执行国家法律法规和财务规章制度，依法接受人大、纪检监察、审计和社会监督。补助资金分配结果要按照政府预算信息公开和省对下转移支付管理有关规定按时公示公开。</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黑体"/>
          <w:color w:val="auto"/>
        </w:rPr>
      </w:pPr>
      <w:r>
        <w:rPr>
          <w:rFonts w:hint="eastAsia" w:ascii="黑体" w:hAnsi="宋体" w:eastAsia="黑体"/>
          <w:color w:val="auto"/>
          <w:kern w:val="0"/>
        </w:rPr>
        <w:t>第二十</w:t>
      </w:r>
      <w:r>
        <w:rPr>
          <w:rFonts w:hint="eastAsia" w:ascii="黑体" w:hAnsi="宋体" w:eastAsia="黑体"/>
          <w:color w:val="auto"/>
          <w:kern w:val="0"/>
          <w:lang w:eastAsia="zh-CN"/>
        </w:rPr>
        <w:t>六</w:t>
      </w:r>
      <w:r>
        <w:rPr>
          <w:rFonts w:hint="eastAsia" w:ascii="黑体" w:hAnsi="宋体" w:eastAsia="黑体"/>
          <w:color w:val="auto"/>
          <w:kern w:val="0"/>
        </w:rPr>
        <w:t>条</w:t>
      </w:r>
      <w:r>
        <w:rPr>
          <w:rFonts w:hint="eastAsia"/>
          <w:color w:val="auto"/>
          <w:kern w:val="0"/>
        </w:rPr>
        <w:t xml:space="preserve">  </w:t>
      </w:r>
      <w:r>
        <w:rPr>
          <w:rFonts w:hint="eastAsia" w:ascii="仿宋_GB2312"/>
          <w:color w:val="auto"/>
        </w:rPr>
        <w:t>各级财政部门、民政部门及其工作人员在补助资金的分配审核、使用管理工作中，存在违反本办法规定的行为，以及其他滥用职权、玩忽职守、徇私舞弊等违法违纪行为，按照《中华人民共和国预算法》《中华人民共和国公务员法》《中华人民共和国监察法》《财政违法行为处罚处分条例》等国家有关法律法规追究相应责任；涉嫌犯罪的，依法移送司法机关处理。</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黑体" w:hAnsi="宋体" w:eastAsia="黑体"/>
          <w:color w:val="auto"/>
          <w:kern w:val="0"/>
        </w:rPr>
      </w:pPr>
      <w:r>
        <w:rPr>
          <w:rFonts w:hint="eastAsia" w:ascii="黑体" w:hAnsi="宋体" w:eastAsia="黑体"/>
          <w:color w:val="auto"/>
          <w:kern w:val="0"/>
        </w:rPr>
        <w:t>第七章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kern w:val="0"/>
        </w:rPr>
      </w:pPr>
      <w:r>
        <w:rPr>
          <w:rFonts w:hint="eastAsia" w:ascii="黑体" w:hAnsi="宋体" w:eastAsia="黑体"/>
          <w:color w:val="auto"/>
          <w:kern w:val="0"/>
        </w:rPr>
        <w:t>第二十</w:t>
      </w:r>
      <w:r>
        <w:rPr>
          <w:rFonts w:hint="eastAsia" w:ascii="黑体" w:hAnsi="宋体" w:eastAsia="黑体"/>
          <w:color w:val="auto"/>
          <w:kern w:val="0"/>
          <w:lang w:eastAsia="zh-CN"/>
        </w:rPr>
        <w:t>七</w:t>
      </w:r>
      <w:r>
        <w:rPr>
          <w:rFonts w:hint="eastAsia" w:ascii="黑体" w:hAnsi="宋体" w:eastAsia="黑体"/>
          <w:color w:val="auto"/>
          <w:kern w:val="0"/>
        </w:rPr>
        <w:t>条</w:t>
      </w:r>
      <w:r>
        <w:rPr>
          <w:rFonts w:hint="eastAsia"/>
          <w:color w:val="auto"/>
          <w:kern w:val="0"/>
        </w:rPr>
        <w:t xml:space="preserve">  </w:t>
      </w:r>
      <w:r>
        <w:rPr>
          <w:rFonts w:hint="eastAsia"/>
          <w:color w:val="auto"/>
          <w:kern w:val="0"/>
          <w:lang w:eastAsia="zh-CN"/>
        </w:rPr>
        <w:t>县区</w:t>
      </w:r>
      <w:r>
        <w:rPr>
          <w:rFonts w:hint="eastAsia"/>
          <w:color w:val="auto"/>
          <w:kern w:val="0"/>
        </w:rPr>
        <w:t>财政部门、民政部门可参照本办法，结合本地实际，制定困难群众救助补助资金管理实施细则。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宋体" w:eastAsia="黑体" w:cs="Times New Roman"/>
          <w:color w:val="auto"/>
          <w:kern w:val="0"/>
          <w:lang w:val="en-US" w:eastAsia="zh-CN"/>
        </w:rPr>
      </w:pPr>
      <w:r>
        <w:rPr>
          <w:rFonts w:hint="eastAsia" w:ascii="黑体" w:hAnsi="宋体" w:eastAsia="黑体" w:cs="Times New Roman"/>
          <w:color w:val="auto"/>
          <w:kern w:val="0"/>
          <w:lang w:eastAsia="zh-CN"/>
        </w:rPr>
        <w:t>第二十八条</w:t>
      </w:r>
      <w:r>
        <w:rPr>
          <w:rFonts w:hint="eastAsia" w:ascii="黑体" w:hAnsi="宋体" w:eastAsia="黑体" w:cs="Times New Roman"/>
          <w:color w:val="auto"/>
          <w:kern w:val="0"/>
          <w:lang w:val="en-US" w:eastAsia="zh-CN"/>
        </w:rPr>
        <w:t xml:space="preserve">  </w:t>
      </w:r>
      <w:r>
        <w:rPr>
          <w:rFonts w:hint="eastAsia" w:ascii="仿宋_GB2312" w:hAnsi="Calibri" w:cs="Times New Roman"/>
          <w:color w:val="auto"/>
          <w:lang w:val="en-US" w:eastAsia="zh-CN"/>
        </w:rPr>
        <w:t>本办法自印发之日起施行。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1"/>
          <w:rFonts w:hint="eastAsia" w:ascii="仿宋_GB2312" w:hAnsi="仿宋_GB2312"/>
          <w:color w:val="auto"/>
        </w:rPr>
      </w:pPr>
      <w:r>
        <w:rPr>
          <w:rFonts w:hint="eastAsia" w:ascii="黑体" w:hAnsi="黑体" w:eastAsia="黑体"/>
          <w:color w:val="auto"/>
          <w:kern w:val="0"/>
        </w:rPr>
        <w:t>第二十</w:t>
      </w:r>
      <w:r>
        <w:rPr>
          <w:rFonts w:hint="eastAsia" w:ascii="黑体" w:hAnsi="黑体" w:eastAsia="黑体"/>
          <w:color w:val="auto"/>
          <w:kern w:val="0"/>
          <w:lang w:eastAsia="zh-CN"/>
        </w:rPr>
        <w:t>九</w:t>
      </w:r>
      <w:r>
        <w:rPr>
          <w:rFonts w:hint="eastAsia" w:ascii="黑体" w:hAnsi="黑体" w:eastAsia="黑体"/>
          <w:color w:val="auto"/>
          <w:kern w:val="0"/>
        </w:rPr>
        <w:t>条</w:t>
      </w:r>
      <w:r>
        <w:rPr>
          <w:rStyle w:val="11"/>
          <w:rFonts w:hint="eastAsia" w:ascii="仿宋_GB2312" w:hAnsi="仿宋_GB2312"/>
          <w:color w:val="auto"/>
        </w:rPr>
        <w:t xml:space="preserve">  本办法有效期5年。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1"/>
          <w:rFonts w:hint="eastAsia" w:ascii="仿宋_GB2312" w:hAnsi="仿宋_GB2312"/>
          <w:color w:val="auto"/>
        </w:rPr>
      </w:pPr>
    </w:p>
    <w:sectPr>
      <w:headerReference r:id="rId3" w:type="default"/>
      <w:footerReference r:id="rId4" w:type="default"/>
      <w:pgSz w:w="11906" w:h="16838"/>
      <w:pgMar w:top="2098" w:right="1474" w:bottom="1985"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00"/>
    <w:family w:val="script"/>
    <w:pitch w:val="default"/>
    <w:sig w:usb0="00000000" w:usb1="080E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5161915</wp:posOffset>
              </wp:positionH>
              <wp:positionV relativeFrom="paragraph">
                <wp:posOffset>-278130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9"/>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left:406.45pt;margin-top:-21.9pt;height:144pt;width:144pt;mso-position-horizontal-relative:margin;mso-wrap-style:none;z-index:251658240;mso-width-relative:page;mso-height-relative:page;" filled="f" stroked="f" coordsize="21600,21600" o:gfxdata="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jNwU1wAAAAwBAAAPAAAA&#10;AAAAAAEAIAAAADgAAABkcnMvZG93bnJldi54bWxQSwECFAAUAAAACACHTuJAEKvwI8cBAAB7AwAA&#10;DgAAAAAAAAABACAAAAA8AQAAZHJzL2Uyb0RvYy54bWxQSwUGAAAAAAYABgBZAQAAdQUAAAAA&#10;">
              <v:fill on="f" focussize="0,0"/>
              <v:stroke on="f"/>
              <v:imagedata o:title=""/>
              <o:lock v:ext="edit" aspectratio="f"/>
              <v:textbox inset="0mm,0mm,0mm,0mm" style="mso-fit-shape-to-text:t;">
                <w:txbxContent>
                  <w:p>
                    <w:pPr>
                      <w:pStyle w:val="3"/>
                      <w:rPr>
                        <w:rStyle w:val="9"/>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TUyYjkzYTc2MzhkMzNkYmMxNTljN2QxMzNmOWUifQ=="/>
  </w:docVars>
  <w:rsids>
    <w:rsidRoot w:val="00722CB5"/>
    <w:rsid w:val="00004600"/>
    <w:rsid w:val="000139B0"/>
    <w:rsid w:val="00030899"/>
    <w:rsid w:val="000354D7"/>
    <w:rsid w:val="00040132"/>
    <w:rsid w:val="00040716"/>
    <w:rsid w:val="000460AC"/>
    <w:rsid w:val="00064C29"/>
    <w:rsid w:val="00072C35"/>
    <w:rsid w:val="000737F7"/>
    <w:rsid w:val="00074672"/>
    <w:rsid w:val="0008005E"/>
    <w:rsid w:val="0008570A"/>
    <w:rsid w:val="000866B0"/>
    <w:rsid w:val="00091AFB"/>
    <w:rsid w:val="00092F70"/>
    <w:rsid w:val="00094EF1"/>
    <w:rsid w:val="000A0B2E"/>
    <w:rsid w:val="000A0D7B"/>
    <w:rsid w:val="000B4ABC"/>
    <w:rsid w:val="000B5FF8"/>
    <w:rsid w:val="000C0856"/>
    <w:rsid w:val="000C47D5"/>
    <w:rsid w:val="000D14D2"/>
    <w:rsid w:val="000D17B4"/>
    <w:rsid w:val="000D2C77"/>
    <w:rsid w:val="000D52F0"/>
    <w:rsid w:val="000D6F67"/>
    <w:rsid w:val="000E12F1"/>
    <w:rsid w:val="000E5177"/>
    <w:rsid w:val="000E5321"/>
    <w:rsid w:val="000F0F1B"/>
    <w:rsid w:val="000F368B"/>
    <w:rsid w:val="000F3D5F"/>
    <w:rsid w:val="000F49B1"/>
    <w:rsid w:val="000F6E80"/>
    <w:rsid w:val="00101D30"/>
    <w:rsid w:val="001021EC"/>
    <w:rsid w:val="00111102"/>
    <w:rsid w:val="001236DE"/>
    <w:rsid w:val="00127BD2"/>
    <w:rsid w:val="00147231"/>
    <w:rsid w:val="00147964"/>
    <w:rsid w:val="00147EDF"/>
    <w:rsid w:val="0015144B"/>
    <w:rsid w:val="00153E23"/>
    <w:rsid w:val="00154744"/>
    <w:rsid w:val="00166F87"/>
    <w:rsid w:val="001714B2"/>
    <w:rsid w:val="00176B53"/>
    <w:rsid w:val="00177D2F"/>
    <w:rsid w:val="0018372B"/>
    <w:rsid w:val="0018499F"/>
    <w:rsid w:val="00186AC2"/>
    <w:rsid w:val="00190BB8"/>
    <w:rsid w:val="00196298"/>
    <w:rsid w:val="00196C90"/>
    <w:rsid w:val="001A16D8"/>
    <w:rsid w:val="001B116B"/>
    <w:rsid w:val="001B33EA"/>
    <w:rsid w:val="001B4067"/>
    <w:rsid w:val="001B6A3B"/>
    <w:rsid w:val="001C2652"/>
    <w:rsid w:val="001D17E9"/>
    <w:rsid w:val="001D237A"/>
    <w:rsid w:val="001D25EC"/>
    <w:rsid w:val="001D4B5D"/>
    <w:rsid w:val="001D69D9"/>
    <w:rsid w:val="001D7358"/>
    <w:rsid w:val="001E230B"/>
    <w:rsid w:val="001E3939"/>
    <w:rsid w:val="001E4D90"/>
    <w:rsid w:val="001F2D70"/>
    <w:rsid w:val="001F349B"/>
    <w:rsid w:val="001F35F8"/>
    <w:rsid w:val="002013D7"/>
    <w:rsid w:val="00212EEA"/>
    <w:rsid w:val="0021356C"/>
    <w:rsid w:val="00214957"/>
    <w:rsid w:val="00215649"/>
    <w:rsid w:val="002407C9"/>
    <w:rsid w:val="00244595"/>
    <w:rsid w:val="00244A07"/>
    <w:rsid w:val="002451C1"/>
    <w:rsid w:val="002521EC"/>
    <w:rsid w:val="0026268B"/>
    <w:rsid w:val="00266A8E"/>
    <w:rsid w:val="0027040C"/>
    <w:rsid w:val="00272B60"/>
    <w:rsid w:val="00274040"/>
    <w:rsid w:val="00275A72"/>
    <w:rsid w:val="002760EB"/>
    <w:rsid w:val="00281CF7"/>
    <w:rsid w:val="00287438"/>
    <w:rsid w:val="002A1100"/>
    <w:rsid w:val="002A33B7"/>
    <w:rsid w:val="002A6A0B"/>
    <w:rsid w:val="002A7246"/>
    <w:rsid w:val="002B13CF"/>
    <w:rsid w:val="002C3665"/>
    <w:rsid w:val="002D1936"/>
    <w:rsid w:val="002E6E77"/>
    <w:rsid w:val="002F157E"/>
    <w:rsid w:val="002F4B33"/>
    <w:rsid w:val="002F71D6"/>
    <w:rsid w:val="002F754F"/>
    <w:rsid w:val="002F7C84"/>
    <w:rsid w:val="00304B79"/>
    <w:rsid w:val="00313DB5"/>
    <w:rsid w:val="00315809"/>
    <w:rsid w:val="00321700"/>
    <w:rsid w:val="00324A11"/>
    <w:rsid w:val="0033385A"/>
    <w:rsid w:val="00334991"/>
    <w:rsid w:val="003426FD"/>
    <w:rsid w:val="003438D3"/>
    <w:rsid w:val="0034788B"/>
    <w:rsid w:val="00354BA0"/>
    <w:rsid w:val="003566C8"/>
    <w:rsid w:val="003604E6"/>
    <w:rsid w:val="00365AC5"/>
    <w:rsid w:val="00374432"/>
    <w:rsid w:val="003774BC"/>
    <w:rsid w:val="00382875"/>
    <w:rsid w:val="00392B45"/>
    <w:rsid w:val="00394872"/>
    <w:rsid w:val="003A179B"/>
    <w:rsid w:val="003A507F"/>
    <w:rsid w:val="003A6082"/>
    <w:rsid w:val="003B4B70"/>
    <w:rsid w:val="003B67CE"/>
    <w:rsid w:val="003D1D28"/>
    <w:rsid w:val="003D42EA"/>
    <w:rsid w:val="003D6D6E"/>
    <w:rsid w:val="003E1016"/>
    <w:rsid w:val="003E2B13"/>
    <w:rsid w:val="003E608A"/>
    <w:rsid w:val="003F19E1"/>
    <w:rsid w:val="004037C8"/>
    <w:rsid w:val="00405B3A"/>
    <w:rsid w:val="00414C51"/>
    <w:rsid w:val="004223CF"/>
    <w:rsid w:val="00424B32"/>
    <w:rsid w:val="00433C7F"/>
    <w:rsid w:val="00436ECA"/>
    <w:rsid w:val="00457DA9"/>
    <w:rsid w:val="0046585B"/>
    <w:rsid w:val="004703B8"/>
    <w:rsid w:val="00472A37"/>
    <w:rsid w:val="00476970"/>
    <w:rsid w:val="00482BDB"/>
    <w:rsid w:val="00483C58"/>
    <w:rsid w:val="004914EB"/>
    <w:rsid w:val="00497FE4"/>
    <w:rsid w:val="004A14EB"/>
    <w:rsid w:val="004A2BFA"/>
    <w:rsid w:val="004A73F8"/>
    <w:rsid w:val="004A7689"/>
    <w:rsid w:val="004B08E1"/>
    <w:rsid w:val="004B0C4E"/>
    <w:rsid w:val="004C2E9D"/>
    <w:rsid w:val="004C617C"/>
    <w:rsid w:val="004D7A84"/>
    <w:rsid w:val="004E07C8"/>
    <w:rsid w:val="004F0D91"/>
    <w:rsid w:val="004F1134"/>
    <w:rsid w:val="00500CE6"/>
    <w:rsid w:val="0050682D"/>
    <w:rsid w:val="00511C49"/>
    <w:rsid w:val="00516ABF"/>
    <w:rsid w:val="005225FA"/>
    <w:rsid w:val="00522BC4"/>
    <w:rsid w:val="00523482"/>
    <w:rsid w:val="005253B1"/>
    <w:rsid w:val="00527659"/>
    <w:rsid w:val="0053165F"/>
    <w:rsid w:val="00531EA1"/>
    <w:rsid w:val="00544116"/>
    <w:rsid w:val="00547627"/>
    <w:rsid w:val="00552E21"/>
    <w:rsid w:val="00553D00"/>
    <w:rsid w:val="00557EB7"/>
    <w:rsid w:val="00564C09"/>
    <w:rsid w:val="00565181"/>
    <w:rsid w:val="0057125C"/>
    <w:rsid w:val="00573161"/>
    <w:rsid w:val="00573977"/>
    <w:rsid w:val="005848EE"/>
    <w:rsid w:val="0059152E"/>
    <w:rsid w:val="0059440E"/>
    <w:rsid w:val="0059445C"/>
    <w:rsid w:val="00596E9D"/>
    <w:rsid w:val="00597464"/>
    <w:rsid w:val="005A2015"/>
    <w:rsid w:val="005A48BD"/>
    <w:rsid w:val="005A58FE"/>
    <w:rsid w:val="005A6F02"/>
    <w:rsid w:val="005B0C32"/>
    <w:rsid w:val="005B108F"/>
    <w:rsid w:val="005B40E2"/>
    <w:rsid w:val="005B742F"/>
    <w:rsid w:val="005B788D"/>
    <w:rsid w:val="005C4753"/>
    <w:rsid w:val="005C5AD9"/>
    <w:rsid w:val="005D12F4"/>
    <w:rsid w:val="005D3671"/>
    <w:rsid w:val="005D5B47"/>
    <w:rsid w:val="005D5B50"/>
    <w:rsid w:val="005D661F"/>
    <w:rsid w:val="005E776D"/>
    <w:rsid w:val="005F267E"/>
    <w:rsid w:val="005F338D"/>
    <w:rsid w:val="005F3906"/>
    <w:rsid w:val="005F3FCA"/>
    <w:rsid w:val="005F5CC6"/>
    <w:rsid w:val="00603464"/>
    <w:rsid w:val="0060438A"/>
    <w:rsid w:val="00606179"/>
    <w:rsid w:val="00610040"/>
    <w:rsid w:val="00624943"/>
    <w:rsid w:val="00627D58"/>
    <w:rsid w:val="00632860"/>
    <w:rsid w:val="00633C68"/>
    <w:rsid w:val="00634D92"/>
    <w:rsid w:val="00640BAC"/>
    <w:rsid w:val="00641925"/>
    <w:rsid w:val="006465F5"/>
    <w:rsid w:val="00656CC8"/>
    <w:rsid w:val="0066315F"/>
    <w:rsid w:val="00663C72"/>
    <w:rsid w:val="006707D7"/>
    <w:rsid w:val="00671381"/>
    <w:rsid w:val="0067351F"/>
    <w:rsid w:val="0068241F"/>
    <w:rsid w:val="00687DA0"/>
    <w:rsid w:val="006A1E15"/>
    <w:rsid w:val="006A400A"/>
    <w:rsid w:val="006B08B1"/>
    <w:rsid w:val="006B2DB1"/>
    <w:rsid w:val="006B323D"/>
    <w:rsid w:val="006B42B7"/>
    <w:rsid w:val="006C1E06"/>
    <w:rsid w:val="006C4EA2"/>
    <w:rsid w:val="006C4F2F"/>
    <w:rsid w:val="006C6A9D"/>
    <w:rsid w:val="006C7DC3"/>
    <w:rsid w:val="006D2442"/>
    <w:rsid w:val="006D3728"/>
    <w:rsid w:val="006D78DC"/>
    <w:rsid w:val="006E00A8"/>
    <w:rsid w:val="006E1FB4"/>
    <w:rsid w:val="006F2CA6"/>
    <w:rsid w:val="006F483D"/>
    <w:rsid w:val="006F6465"/>
    <w:rsid w:val="006F7056"/>
    <w:rsid w:val="007111D7"/>
    <w:rsid w:val="007114E2"/>
    <w:rsid w:val="00711F78"/>
    <w:rsid w:val="007176D7"/>
    <w:rsid w:val="007204B2"/>
    <w:rsid w:val="007219BD"/>
    <w:rsid w:val="007226C1"/>
    <w:rsid w:val="00722CB5"/>
    <w:rsid w:val="00723B75"/>
    <w:rsid w:val="007323A5"/>
    <w:rsid w:val="00733A6A"/>
    <w:rsid w:val="00735758"/>
    <w:rsid w:val="00737DFD"/>
    <w:rsid w:val="0074141D"/>
    <w:rsid w:val="00742514"/>
    <w:rsid w:val="0074262E"/>
    <w:rsid w:val="0075235F"/>
    <w:rsid w:val="00752DBE"/>
    <w:rsid w:val="0075358F"/>
    <w:rsid w:val="00753BA9"/>
    <w:rsid w:val="007643EF"/>
    <w:rsid w:val="007734B8"/>
    <w:rsid w:val="00773868"/>
    <w:rsid w:val="00777F30"/>
    <w:rsid w:val="0078220E"/>
    <w:rsid w:val="007932C0"/>
    <w:rsid w:val="00796A0E"/>
    <w:rsid w:val="007A5531"/>
    <w:rsid w:val="007B43AD"/>
    <w:rsid w:val="007C08E9"/>
    <w:rsid w:val="007C10E9"/>
    <w:rsid w:val="007C28C1"/>
    <w:rsid w:val="007C63D8"/>
    <w:rsid w:val="007E3941"/>
    <w:rsid w:val="007E73E1"/>
    <w:rsid w:val="007F579E"/>
    <w:rsid w:val="007F6C0E"/>
    <w:rsid w:val="0080114F"/>
    <w:rsid w:val="0080290C"/>
    <w:rsid w:val="008031B5"/>
    <w:rsid w:val="008036AE"/>
    <w:rsid w:val="00804654"/>
    <w:rsid w:val="008047FD"/>
    <w:rsid w:val="00804D37"/>
    <w:rsid w:val="0080733D"/>
    <w:rsid w:val="008103AC"/>
    <w:rsid w:val="00810ED6"/>
    <w:rsid w:val="00823464"/>
    <w:rsid w:val="00833334"/>
    <w:rsid w:val="00842520"/>
    <w:rsid w:val="00842FC3"/>
    <w:rsid w:val="00852708"/>
    <w:rsid w:val="00852F1F"/>
    <w:rsid w:val="00853AF5"/>
    <w:rsid w:val="008545C7"/>
    <w:rsid w:val="008548E5"/>
    <w:rsid w:val="0085515B"/>
    <w:rsid w:val="00860742"/>
    <w:rsid w:val="00860D1B"/>
    <w:rsid w:val="00865F36"/>
    <w:rsid w:val="008731E8"/>
    <w:rsid w:val="00873B84"/>
    <w:rsid w:val="0088290E"/>
    <w:rsid w:val="00884BA9"/>
    <w:rsid w:val="0089027F"/>
    <w:rsid w:val="00890EFD"/>
    <w:rsid w:val="00891E47"/>
    <w:rsid w:val="00892A77"/>
    <w:rsid w:val="00896321"/>
    <w:rsid w:val="008A02B6"/>
    <w:rsid w:val="008A0EEB"/>
    <w:rsid w:val="008A28D4"/>
    <w:rsid w:val="008A4694"/>
    <w:rsid w:val="008A75FF"/>
    <w:rsid w:val="008B4855"/>
    <w:rsid w:val="008C08CA"/>
    <w:rsid w:val="008C1D0E"/>
    <w:rsid w:val="008C4C98"/>
    <w:rsid w:val="008D09E8"/>
    <w:rsid w:val="008E1543"/>
    <w:rsid w:val="008E23ED"/>
    <w:rsid w:val="008F068D"/>
    <w:rsid w:val="008F46FF"/>
    <w:rsid w:val="008F48C8"/>
    <w:rsid w:val="008F6E7A"/>
    <w:rsid w:val="009037F3"/>
    <w:rsid w:val="00903809"/>
    <w:rsid w:val="00916EDE"/>
    <w:rsid w:val="009217BD"/>
    <w:rsid w:val="00925AFD"/>
    <w:rsid w:val="00926F40"/>
    <w:rsid w:val="00927B36"/>
    <w:rsid w:val="009309A1"/>
    <w:rsid w:val="00934DB8"/>
    <w:rsid w:val="0093604D"/>
    <w:rsid w:val="00941810"/>
    <w:rsid w:val="00941F22"/>
    <w:rsid w:val="00951257"/>
    <w:rsid w:val="009608C2"/>
    <w:rsid w:val="009609A5"/>
    <w:rsid w:val="00960F64"/>
    <w:rsid w:val="00962D37"/>
    <w:rsid w:val="00966024"/>
    <w:rsid w:val="00966322"/>
    <w:rsid w:val="00970C08"/>
    <w:rsid w:val="009729F1"/>
    <w:rsid w:val="00974371"/>
    <w:rsid w:val="00980112"/>
    <w:rsid w:val="009812EB"/>
    <w:rsid w:val="00986943"/>
    <w:rsid w:val="00992DD6"/>
    <w:rsid w:val="00993E53"/>
    <w:rsid w:val="00994803"/>
    <w:rsid w:val="00995B5A"/>
    <w:rsid w:val="00996DB5"/>
    <w:rsid w:val="00997C8E"/>
    <w:rsid w:val="009A3594"/>
    <w:rsid w:val="009A3D1D"/>
    <w:rsid w:val="009A4D58"/>
    <w:rsid w:val="009A65EC"/>
    <w:rsid w:val="009B367F"/>
    <w:rsid w:val="009B4BE3"/>
    <w:rsid w:val="009B5817"/>
    <w:rsid w:val="009C6AD5"/>
    <w:rsid w:val="009D37A0"/>
    <w:rsid w:val="009E27FB"/>
    <w:rsid w:val="009E4629"/>
    <w:rsid w:val="009E4F08"/>
    <w:rsid w:val="009F0D8F"/>
    <w:rsid w:val="009F30C3"/>
    <w:rsid w:val="009F78DE"/>
    <w:rsid w:val="009F7FD6"/>
    <w:rsid w:val="00A05719"/>
    <w:rsid w:val="00A13C0C"/>
    <w:rsid w:val="00A14297"/>
    <w:rsid w:val="00A24082"/>
    <w:rsid w:val="00A244F7"/>
    <w:rsid w:val="00A25C3E"/>
    <w:rsid w:val="00A36716"/>
    <w:rsid w:val="00A40988"/>
    <w:rsid w:val="00A45E02"/>
    <w:rsid w:val="00A5287F"/>
    <w:rsid w:val="00A533C3"/>
    <w:rsid w:val="00A550BA"/>
    <w:rsid w:val="00A56D12"/>
    <w:rsid w:val="00A5752C"/>
    <w:rsid w:val="00A60349"/>
    <w:rsid w:val="00A612BB"/>
    <w:rsid w:val="00A615DE"/>
    <w:rsid w:val="00A667F6"/>
    <w:rsid w:val="00A722F2"/>
    <w:rsid w:val="00A72B6A"/>
    <w:rsid w:val="00A7336E"/>
    <w:rsid w:val="00A73A9D"/>
    <w:rsid w:val="00A7694F"/>
    <w:rsid w:val="00A8195D"/>
    <w:rsid w:val="00A82A5B"/>
    <w:rsid w:val="00A842B5"/>
    <w:rsid w:val="00A90376"/>
    <w:rsid w:val="00A94686"/>
    <w:rsid w:val="00A96524"/>
    <w:rsid w:val="00AA5A25"/>
    <w:rsid w:val="00AA6F1C"/>
    <w:rsid w:val="00AB05B4"/>
    <w:rsid w:val="00AB1DFF"/>
    <w:rsid w:val="00AB362E"/>
    <w:rsid w:val="00AB4766"/>
    <w:rsid w:val="00AB749D"/>
    <w:rsid w:val="00AB7E38"/>
    <w:rsid w:val="00AC43BA"/>
    <w:rsid w:val="00AC450A"/>
    <w:rsid w:val="00AD2181"/>
    <w:rsid w:val="00AD24E4"/>
    <w:rsid w:val="00AE0D4A"/>
    <w:rsid w:val="00AE3DA0"/>
    <w:rsid w:val="00AE3F54"/>
    <w:rsid w:val="00AE3FE7"/>
    <w:rsid w:val="00AE4A99"/>
    <w:rsid w:val="00AE4E91"/>
    <w:rsid w:val="00AE6306"/>
    <w:rsid w:val="00AE7B35"/>
    <w:rsid w:val="00AF122D"/>
    <w:rsid w:val="00AF58D4"/>
    <w:rsid w:val="00B01314"/>
    <w:rsid w:val="00B052D6"/>
    <w:rsid w:val="00B1571F"/>
    <w:rsid w:val="00B23BFB"/>
    <w:rsid w:val="00B27C4F"/>
    <w:rsid w:val="00B33CAA"/>
    <w:rsid w:val="00B41800"/>
    <w:rsid w:val="00B45228"/>
    <w:rsid w:val="00B45E5E"/>
    <w:rsid w:val="00B52DAC"/>
    <w:rsid w:val="00B543EC"/>
    <w:rsid w:val="00B5685E"/>
    <w:rsid w:val="00B56E0C"/>
    <w:rsid w:val="00B65C3C"/>
    <w:rsid w:val="00B72DD1"/>
    <w:rsid w:val="00B825BA"/>
    <w:rsid w:val="00B91A20"/>
    <w:rsid w:val="00B96450"/>
    <w:rsid w:val="00BA0500"/>
    <w:rsid w:val="00BA1875"/>
    <w:rsid w:val="00BA472C"/>
    <w:rsid w:val="00BA7DE5"/>
    <w:rsid w:val="00BB19DB"/>
    <w:rsid w:val="00BB69DA"/>
    <w:rsid w:val="00BD1CEB"/>
    <w:rsid w:val="00BD6FB7"/>
    <w:rsid w:val="00BE3A66"/>
    <w:rsid w:val="00BF2528"/>
    <w:rsid w:val="00BF5E47"/>
    <w:rsid w:val="00BF785A"/>
    <w:rsid w:val="00C05911"/>
    <w:rsid w:val="00C05A31"/>
    <w:rsid w:val="00C070A3"/>
    <w:rsid w:val="00C105C6"/>
    <w:rsid w:val="00C11880"/>
    <w:rsid w:val="00C23955"/>
    <w:rsid w:val="00C30576"/>
    <w:rsid w:val="00C355EC"/>
    <w:rsid w:val="00C41879"/>
    <w:rsid w:val="00C41F95"/>
    <w:rsid w:val="00C4485A"/>
    <w:rsid w:val="00C51818"/>
    <w:rsid w:val="00C51FC0"/>
    <w:rsid w:val="00C548D2"/>
    <w:rsid w:val="00C56CED"/>
    <w:rsid w:val="00C61751"/>
    <w:rsid w:val="00C6455C"/>
    <w:rsid w:val="00C66A63"/>
    <w:rsid w:val="00C737BF"/>
    <w:rsid w:val="00C80CD1"/>
    <w:rsid w:val="00C86197"/>
    <w:rsid w:val="00C94FF0"/>
    <w:rsid w:val="00C95274"/>
    <w:rsid w:val="00CA275B"/>
    <w:rsid w:val="00CA3A8C"/>
    <w:rsid w:val="00CB6078"/>
    <w:rsid w:val="00CC24CE"/>
    <w:rsid w:val="00CC4181"/>
    <w:rsid w:val="00CC4882"/>
    <w:rsid w:val="00CC4C8E"/>
    <w:rsid w:val="00CC52E8"/>
    <w:rsid w:val="00CC5A08"/>
    <w:rsid w:val="00CC7ED6"/>
    <w:rsid w:val="00CD053F"/>
    <w:rsid w:val="00CD0A7D"/>
    <w:rsid w:val="00CD2588"/>
    <w:rsid w:val="00CD7237"/>
    <w:rsid w:val="00CE20F8"/>
    <w:rsid w:val="00CE4389"/>
    <w:rsid w:val="00CF0643"/>
    <w:rsid w:val="00CF2480"/>
    <w:rsid w:val="00CF4FEF"/>
    <w:rsid w:val="00CF53EA"/>
    <w:rsid w:val="00D03918"/>
    <w:rsid w:val="00D049F5"/>
    <w:rsid w:val="00D06CA1"/>
    <w:rsid w:val="00D12CFC"/>
    <w:rsid w:val="00D155EE"/>
    <w:rsid w:val="00D157A5"/>
    <w:rsid w:val="00D31B97"/>
    <w:rsid w:val="00D401BD"/>
    <w:rsid w:val="00D418B7"/>
    <w:rsid w:val="00D4305D"/>
    <w:rsid w:val="00D55DCE"/>
    <w:rsid w:val="00D57C35"/>
    <w:rsid w:val="00D63853"/>
    <w:rsid w:val="00D64B7F"/>
    <w:rsid w:val="00D6630D"/>
    <w:rsid w:val="00D724A0"/>
    <w:rsid w:val="00D81CF8"/>
    <w:rsid w:val="00D87672"/>
    <w:rsid w:val="00D90C52"/>
    <w:rsid w:val="00D95689"/>
    <w:rsid w:val="00D965DD"/>
    <w:rsid w:val="00DA0B73"/>
    <w:rsid w:val="00DA1F94"/>
    <w:rsid w:val="00DA7236"/>
    <w:rsid w:val="00DA7A61"/>
    <w:rsid w:val="00DB36E0"/>
    <w:rsid w:val="00DB3991"/>
    <w:rsid w:val="00DB3A62"/>
    <w:rsid w:val="00DC7E08"/>
    <w:rsid w:val="00DD2049"/>
    <w:rsid w:val="00DD5EF0"/>
    <w:rsid w:val="00DE67B8"/>
    <w:rsid w:val="00DF0B98"/>
    <w:rsid w:val="00E01430"/>
    <w:rsid w:val="00E04380"/>
    <w:rsid w:val="00E053A9"/>
    <w:rsid w:val="00E11AA0"/>
    <w:rsid w:val="00E11BFD"/>
    <w:rsid w:val="00E1566F"/>
    <w:rsid w:val="00E2138B"/>
    <w:rsid w:val="00E21818"/>
    <w:rsid w:val="00E2789B"/>
    <w:rsid w:val="00E31C49"/>
    <w:rsid w:val="00E324E5"/>
    <w:rsid w:val="00E326E3"/>
    <w:rsid w:val="00E366EA"/>
    <w:rsid w:val="00E377D2"/>
    <w:rsid w:val="00E417BD"/>
    <w:rsid w:val="00E42FE9"/>
    <w:rsid w:val="00E44057"/>
    <w:rsid w:val="00E4555A"/>
    <w:rsid w:val="00E473A8"/>
    <w:rsid w:val="00E47D3B"/>
    <w:rsid w:val="00E613EE"/>
    <w:rsid w:val="00E75C31"/>
    <w:rsid w:val="00E80050"/>
    <w:rsid w:val="00E87048"/>
    <w:rsid w:val="00E8732E"/>
    <w:rsid w:val="00EA512D"/>
    <w:rsid w:val="00EA51C0"/>
    <w:rsid w:val="00EB5D4B"/>
    <w:rsid w:val="00EB64A1"/>
    <w:rsid w:val="00EC0F41"/>
    <w:rsid w:val="00EC54A5"/>
    <w:rsid w:val="00EC6818"/>
    <w:rsid w:val="00ED1106"/>
    <w:rsid w:val="00ED3518"/>
    <w:rsid w:val="00ED7DF6"/>
    <w:rsid w:val="00EE58C3"/>
    <w:rsid w:val="00EF2FCD"/>
    <w:rsid w:val="00F0110E"/>
    <w:rsid w:val="00F0522C"/>
    <w:rsid w:val="00F11C22"/>
    <w:rsid w:val="00F131B8"/>
    <w:rsid w:val="00F131C4"/>
    <w:rsid w:val="00F17427"/>
    <w:rsid w:val="00F17E48"/>
    <w:rsid w:val="00F25C55"/>
    <w:rsid w:val="00F317D4"/>
    <w:rsid w:val="00F41A1A"/>
    <w:rsid w:val="00F4585C"/>
    <w:rsid w:val="00F46C4A"/>
    <w:rsid w:val="00F556DC"/>
    <w:rsid w:val="00F60123"/>
    <w:rsid w:val="00F61B6E"/>
    <w:rsid w:val="00F63BE8"/>
    <w:rsid w:val="00F64645"/>
    <w:rsid w:val="00F76970"/>
    <w:rsid w:val="00F80E13"/>
    <w:rsid w:val="00F85699"/>
    <w:rsid w:val="00F941F0"/>
    <w:rsid w:val="00F94A01"/>
    <w:rsid w:val="00FA0C55"/>
    <w:rsid w:val="00FA169B"/>
    <w:rsid w:val="00FB0CAA"/>
    <w:rsid w:val="00FB2E47"/>
    <w:rsid w:val="00FC05F5"/>
    <w:rsid w:val="00FE232D"/>
    <w:rsid w:val="00FF1CE8"/>
    <w:rsid w:val="00FF3203"/>
    <w:rsid w:val="04AC0309"/>
    <w:rsid w:val="067C28F8"/>
    <w:rsid w:val="0E09200D"/>
    <w:rsid w:val="0F965D85"/>
    <w:rsid w:val="11990B84"/>
    <w:rsid w:val="11E90467"/>
    <w:rsid w:val="13855E51"/>
    <w:rsid w:val="183A7038"/>
    <w:rsid w:val="1A314381"/>
    <w:rsid w:val="1A6313E4"/>
    <w:rsid w:val="1DCD5B36"/>
    <w:rsid w:val="24612064"/>
    <w:rsid w:val="2768ECC1"/>
    <w:rsid w:val="2CBE1D65"/>
    <w:rsid w:val="33E17AA2"/>
    <w:rsid w:val="36405A4E"/>
    <w:rsid w:val="384B0937"/>
    <w:rsid w:val="3C32188D"/>
    <w:rsid w:val="3DEA75DD"/>
    <w:rsid w:val="3DEDEC7B"/>
    <w:rsid w:val="3E5BEAEC"/>
    <w:rsid w:val="3FDF330A"/>
    <w:rsid w:val="3FEE8888"/>
    <w:rsid w:val="405D772B"/>
    <w:rsid w:val="447D04C1"/>
    <w:rsid w:val="473E1040"/>
    <w:rsid w:val="4CFF6354"/>
    <w:rsid w:val="56620337"/>
    <w:rsid w:val="591C0FE1"/>
    <w:rsid w:val="5D177626"/>
    <w:rsid w:val="614E4C24"/>
    <w:rsid w:val="651F542B"/>
    <w:rsid w:val="66412B47"/>
    <w:rsid w:val="6DF61B08"/>
    <w:rsid w:val="6FB5C75A"/>
    <w:rsid w:val="6FFFBCCD"/>
    <w:rsid w:val="737D264E"/>
    <w:rsid w:val="73F1772E"/>
    <w:rsid w:val="741B233B"/>
    <w:rsid w:val="76243108"/>
    <w:rsid w:val="76F705E6"/>
    <w:rsid w:val="77736309"/>
    <w:rsid w:val="7C76A012"/>
    <w:rsid w:val="7DF7A309"/>
    <w:rsid w:val="7E7722B1"/>
    <w:rsid w:val="7EEC03CA"/>
    <w:rsid w:val="9EEB1DB7"/>
    <w:rsid w:val="CD6EF20D"/>
    <w:rsid w:val="DD7FFC79"/>
    <w:rsid w:val="E1FDEA77"/>
    <w:rsid w:val="E7F77E0E"/>
    <w:rsid w:val="EFFBB79E"/>
    <w:rsid w:val="FAFFD0CE"/>
    <w:rsid w:val="FDFFA801"/>
    <w:rsid w:val="FFBAF6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olor w:val="000000"/>
      <w:kern w:val="2"/>
      <w:sz w:val="32"/>
      <w:szCs w:val="32"/>
      <w:lang w:val="en-US" w:eastAsia="zh-CN" w:bidi="ar-SA"/>
    </w:rPr>
  </w:style>
  <w:style w:type="character" w:default="1" w:styleId="7">
    <w:name w:val="Default Paragraph Font"/>
    <w:link w:val="8"/>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 Char Char Char Char Char Char Char Char Char Char Char Char Char Char Char Char"/>
    <w:basedOn w:val="1"/>
    <w:link w:val="7"/>
    <w:uiPriority w:val="0"/>
    <w:pPr>
      <w:widowControl/>
      <w:spacing w:after="160" w:line="240" w:lineRule="exact"/>
      <w:jc w:val="left"/>
    </w:pPr>
    <w:rPr>
      <w:rFonts w:eastAsia="宋体"/>
      <w:color w:val="auto"/>
      <w:sz w:val="21"/>
      <w:szCs w:val="24"/>
    </w:rPr>
  </w:style>
  <w:style w:type="character" w:styleId="9">
    <w:name w:val="page number"/>
    <w:basedOn w:val="7"/>
    <w:uiPriority w:val="0"/>
  </w:style>
  <w:style w:type="character" w:styleId="10">
    <w:name w:val="Hyperlink"/>
    <w:basedOn w:val="7"/>
    <w:uiPriority w:val="0"/>
    <w:rPr>
      <w:color w:val="0000FF"/>
      <w:u w:val="single"/>
    </w:rPr>
  </w:style>
  <w:style w:type="character" w:customStyle="1" w:styleId="11">
    <w:name w:val="默认段落字体1"/>
    <w:uiPriority w:val="0"/>
  </w:style>
  <w:style w:type="paragraph" w:customStyle="1" w:styleId="12">
    <w:name w:val="自建正文"/>
    <w:basedOn w:val="1"/>
    <w:uiPriority w:val="0"/>
    <w:pPr>
      <w:adjustRightInd w:val="0"/>
      <w:spacing w:line="410" w:lineRule="exact"/>
      <w:ind w:firstLine="200" w:firstLineChars="200"/>
    </w:pPr>
    <w:rPr>
      <w:rFonts w:ascii="方正书宋简体" w:hAnsi="宋体" w:eastAsia="方正书宋简体"/>
      <w:color w:val="auto"/>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3438</Words>
  <Characters>3458</Characters>
  <Lines>26</Lines>
  <Paragraphs>7</Paragraphs>
  <TotalTime>9.66666666666667</TotalTime>
  <ScaleCrop>false</ScaleCrop>
  <LinksUpToDate>false</LinksUpToDate>
  <CharactersWithSpaces>3537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2019-08-31T15:54:00Z</dcterms:created>
  <dc:creator>周雅利</dc:creator>
  <cp:lastModifiedBy>user</cp:lastModifiedBy>
  <cp:lastPrinted>2023-06-07T00:27:14Z</cp:lastPrinted>
  <dcterms:modified xsi:type="dcterms:W3CDTF">2023-08-07T10:17:29Z</dcterms:modified>
  <dc:title>四川省财政厅   四川省民政厅</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BEB550A530AE41579C6FC70C273A6E9A_13</vt:lpwstr>
  </property>
</Properties>
</file>