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eastAsia="方正小标宋简体"/>
          <w:spacing w:val="-28"/>
          <w:sz w:val="44"/>
          <w:szCs w:val="44"/>
        </w:rPr>
      </w:pPr>
      <w:bookmarkStart w:id="0" w:name="_GoBack"/>
      <w:bookmarkEnd w:id="0"/>
      <w:r>
        <w:rPr>
          <w:rFonts w:hint="eastAsia" w:ascii="方正小标宋简体" w:eastAsia="方正小标宋简体"/>
          <w:spacing w:val="-28"/>
          <w:sz w:val="44"/>
          <w:szCs w:val="44"/>
          <w:lang w:eastAsia="zh-CN"/>
        </w:rPr>
        <w:t>广元</w:t>
      </w:r>
      <w:r>
        <w:rPr>
          <w:rFonts w:hint="eastAsia" w:ascii="方正小标宋简体" w:eastAsia="方正小标宋简体"/>
          <w:spacing w:val="-28"/>
          <w:sz w:val="44"/>
          <w:szCs w:val="44"/>
        </w:rPr>
        <w:t>市特困人员家庭财产状况认定与生活自理能力评估</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eastAsia="方正小标宋简体"/>
          <w:spacing w:val="0"/>
          <w:sz w:val="44"/>
          <w:szCs w:val="44"/>
        </w:rPr>
      </w:pPr>
      <w:r>
        <w:rPr>
          <w:rFonts w:hint="eastAsia" w:ascii="方正小标宋简体" w:eastAsia="方正小标宋简体"/>
          <w:spacing w:val="0"/>
          <w:sz w:val="44"/>
          <w:szCs w:val="44"/>
        </w:rPr>
        <w:t>实施细则</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spacing w:val="0"/>
          <w:sz w:val="32"/>
          <w:szCs w:val="32"/>
          <w:lang w:eastAsia="zh-CN"/>
        </w:rPr>
      </w:pPr>
      <w:r>
        <w:rPr>
          <w:rFonts w:hint="eastAsia" w:ascii="楷体_GB2312" w:hAnsi="楷体_GB2312" w:eastAsia="楷体_GB2312" w:cs="楷体_GB2312"/>
          <w:spacing w:val="0"/>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仿宋_GB231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590" w:firstLineChars="200"/>
        <w:textAlignment w:val="auto"/>
        <w:rPr>
          <w:rFonts w:hint="eastAsia" w:ascii="仿宋_GB2312"/>
          <w:szCs w:val="32"/>
        </w:rPr>
      </w:pPr>
      <w:r>
        <w:rPr>
          <w:rFonts w:hint="eastAsia" w:ascii="楷体" w:hAnsi="楷体" w:eastAsia="楷体"/>
          <w:b/>
          <w:szCs w:val="32"/>
        </w:rPr>
        <w:t>第一条</w:t>
      </w:r>
      <w:r>
        <w:rPr>
          <w:rFonts w:hint="eastAsia" w:ascii="楷体" w:hAnsi="楷体" w:eastAsia="楷体"/>
          <w:b/>
          <w:szCs w:val="32"/>
          <w:lang w:val="en-US" w:eastAsia="zh-CN"/>
        </w:rPr>
        <w:t xml:space="preserve">  </w:t>
      </w:r>
      <w:r>
        <w:rPr>
          <w:rFonts w:hint="eastAsia" w:ascii="仿宋_GB2312" w:hAnsi="宋体" w:cs="宋体"/>
          <w:color w:val="000000"/>
          <w:kern w:val="0"/>
          <w:szCs w:val="32"/>
        </w:rPr>
        <w:t>为</w:t>
      </w:r>
      <w:r>
        <w:rPr>
          <w:rFonts w:ascii="仿宋_GB2312" w:hAnsi="宋体" w:cs="宋体"/>
          <w:color w:val="000000"/>
          <w:kern w:val="0"/>
          <w:szCs w:val="32"/>
        </w:rPr>
        <w:t>合理</w:t>
      </w:r>
      <w:r>
        <w:rPr>
          <w:rFonts w:hint="eastAsia" w:ascii="仿宋_GB2312" w:hAnsi="宋体" w:cs="宋体"/>
          <w:color w:val="000000"/>
          <w:kern w:val="0"/>
          <w:szCs w:val="32"/>
        </w:rPr>
        <w:t>认定特困人员家庭财产状况</w:t>
      </w:r>
      <w:r>
        <w:rPr>
          <w:rFonts w:ascii="仿宋_GB2312" w:hAnsi="宋体" w:cs="宋体"/>
          <w:color w:val="000000"/>
          <w:kern w:val="0"/>
          <w:szCs w:val="32"/>
        </w:rPr>
        <w:t>，</w:t>
      </w:r>
      <w:r>
        <w:rPr>
          <w:rFonts w:hint="eastAsia" w:ascii="仿宋_GB2312" w:hAnsi="宋体" w:cs="宋体"/>
          <w:color w:val="000000"/>
          <w:kern w:val="0"/>
          <w:szCs w:val="32"/>
        </w:rPr>
        <w:t>评估特困人员生活自理能力，提高特困人员认定规范化水平，根据《</w:t>
      </w:r>
      <w:r>
        <w:rPr>
          <w:rFonts w:hint="eastAsia" w:ascii="仿宋_GB2312" w:hAnsi="宋体" w:cs="宋体"/>
          <w:color w:val="000000"/>
          <w:kern w:val="0"/>
          <w:sz w:val="32"/>
          <w:szCs w:val="32"/>
        </w:rPr>
        <w:t>四川省民政厅</w:t>
      </w:r>
      <w:r>
        <w:rPr>
          <w:rFonts w:hint="eastAsia" w:ascii="仿宋_GB2312" w:hAnsi="宋体" w:cs="宋体"/>
          <w:color w:val="000000"/>
          <w:kern w:val="0"/>
          <w:sz w:val="32"/>
          <w:szCs w:val="32"/>
          <w:lang w:eastAsia="zh-CN"/>
        </w:rPr>
        <w:t>印发</w:t>
      </w:r>
      <w:r>
        <w:rPr>
          <w:rFonts w:hint="eastAsia" w:ascii="仿宋_GB2312" w:hAnsi="宋体" w:cs="宋体"/>
          <w:color w:val="000000"/>
          <w:kern w:val="0"/>
          <w:sz w:val="32"/>
          <w:szCs w:val="32"/>
          <w:lang w:val="en-US" w:eastAsia="zh-CN"/>
        </w:rPr>
        <w:t>&lt;</w:t>
      </w:r>
      <w:r>
        <w:rPr>
          <w:rFonts w:hint="eastAsia" w:ascii="仿宋_GB2312" w:hAnsi="宋体" w:cs="宋体"/>
          <w:color w:val="000000"/>
          <w:kern w:val="0"/>
          <w:sz w:val="32"/>
          <w:szCs w:val="32"/>
          <w:lang w:eastAsia="zh-CN"/>
        </w:rPr>
        <w:t>四川省特困人员救助供养工作规程</w:t>
      </w:r>
      <w:r>
        <w:rPr>
          <w:rFonts w:hint="eastAsia" w:ascii="仿宋_GB2312" w:hAnsi="宋体" w:cs="宋体"/>
          <w:color w:val="000000"/>
          <w:kern w:val="0"/>
          <w:sz w:val="32"/>
          <w:szCs w:val="32"/>
          <w:lang w:val="en-US" w:eastAsia="zh-CN"/>
        </w:rPr>
        <w:t>&gt;的通知</w:t>
      </w:r>
      <w:r>
        <w:rPr>
          <w:rFonts w:hint="eastAsia" w:ascii="仿宋_GB2312" w:hAnsi="宋体" w:cs="宋体"/>
          <w:color w:val="000000"/>
          <w:kern w:val="0"/>
          <w:szCs w:val="32"/>
        </w:rPr>
        <w:t>》</w:t>
      </w:r>
      <w:r>
        <w:rPr>
          <w:rFonts w:hint="eastAsia" w:ascii="仿宋_GB2312" w:hAnsi="宋体" w:cs="宋体"/>
          <w:color w:val="000000"/>
          <w:kern w:val="0"/>
          <w:sz w:val="32"/>
          <w:szCs w:val="32"/>
          <w:lang w:eastAsia="zh-CN"/>
        </w:rPr>
        <w:t>（川民规</w:t>
      </w:r>
      <w:r>
        <w:rPr>
          <w:rFonts w:hint="eastAsia" w:ascii="仿宋_GB2312" w:hAnsi="仿宋_GB2312" w:eastAsia="仿宋_GB2312" w:cs="仿宋_GB2312"/>
          <w:sz w:val="32"/>
          <w:szCs w:val="40"/>
          <w:lang w:val="en-US" w:eastAsia="zh-CN"/>
        </w:rPr>
        <w:t>〔202</w:t>
      </w:r>
      <w:r>
        <w:rPr>
          <w:rFonts w:hint="eastAsia" w:ascii="仿宋_GB2312" w:hAnsi="仿宋_GB2312" w:cs="仿宋_GB2312"/>
          <w:sz w:val="32"/>
          <w:szCs w:val="40"/>
          <w:lang w:val="en-US" w:eastAsia="zh-CN"/>
        </w:rPr>
        <w:t>2</w:t>
      </w:r>
      <w:r>
        <w:rPr>
          <w:rFonts w:hint="eastAsia" w:ascii="仿宋_GB2312" w:hAnsi="仿宋_GB2312" w:eastAsia="仿宋_GB2312" w:cs="仿宋_GB2312"/>
          <w:sz w:val="32"/>
          <w:szCs w:val="40"/>
          <w:lang w:val="en-US" w:eastAsia="zh-CN"/>
        </w:rPr>
        <w:t>〕</w:t>
      </w:r>
      <w:r>
        <w:rPr>
          <w:rFonts w:hint="eastAsia" w:ascii="仿宋_GB2312" w:hAnsi="仿宋_GB2312" w:cs="仿宋_GB2312"/>
          <w:sz w:val="32"/>
          <w:szCs w:val="40"/>
          <w:lang w:val="en-US" w:eastAsia="zh-CN"/>
        </w:rPr>
        <w:t>1号</w:t>
      </w:r>
      <w:r>
        <w:rPr>
          <w:rFonts w:hint="eastAsia" w:ascii="仿宋_GB2312" w:hAnsi="宋体" w:cs="宋体"/>
          <w:color w:val="000000"/>
          <w:kern w:val="0"/>
          <w:sz w:val="32"/>
          <w:szCs w:val="32"/>
          <w:lang w:eastAsia="zh-CN"/>
        </w:rPr>
        <w:t>）</w:t>
      </w:r>
      <w:r>
        <w:rPr>
          <w:rFonts w:hint="eastAsia" w:ascii="仿宋_GB2312" w:hAnsi="宋体" w:cs="宋体"/>
          <w:color w:val="000000"/>
          <w:kern w:val="0"/>
          <w:szCs w:val="32"/>
        </w:rPr>
        <w:t>及相关规定，</w:t>
      </w:r>
      <w:r>
        <w:rPr>
          <w:rFonts w:hint="eastAsia" w:ascii="仿宋_GB2312"/>
          <w:szCs w:val="32"/>
        </w:rPr>
        <w:t>结合我市实际，制定本实施细则。</w:t>
      </w:r>
    </w:p>
    <w:p>
      <w:pPr>
        <w:keepNext w:val="0"/>
        <w:keepLines w:val="0"/>
        <w:pageBreakBefore w:val="0"/>
        <w:widowControl w:val="0"/>
        <w:kinsoku/>
        <w:wordWrap/>
        <w:overflowPunct/>
        <w:topLinePunct w:val="0"/>
        <w:autoSpaceDE/>
        <w:autoSpaceDN/>
        <w:bidi w:val="0"/>
        <w:adjustRightInd/>
        <w:snapToGrid/>
        <w:spacing w:line="596" w:lineRule="exact"/>
        <w:ind w:firstLine="590" w:firstLineChars="200"/>
        <w:textAlignment w:val="auto"/>
        <w:rPr>
          <w:rFonts w:hint="eastAsia" w:ascii="仿宋_GB2312"/>
          <w:szCs w:val="32"/>
        </w:rPr>
      </w:pPr>
      <w:r>
        <w:rPr>
          <w:rFonts w:hint="eastAsia" w:ascii="楷体" w:hAnsi="楷体" w:eastAsia="楷体"/>
          <w:b/>
          <w:szCs w:val="32"/>
        </w:rPr>
        <w:t xml:space="preserve">第二条  </w:t>
      </w:r>
      <w:r>
        <w:rPr>
          <w:rFonts w:hint="eastAsia" w:ascii="仿宋_GB2312"/>
          <w:szCs w:val="32"/>
        </w:rPr>
        <w:t>特困人员申请特困救助供养时，应当以个人为单位，按照规定提交家庭财产状况书面声明，并由申请人签字确认，履行授权核查家庭经济状况的相关手续，承诺所提供的信息真实、完整。</w:t>
      </w:r>
    </w:p>
    <w:p>
      <w:pPr>
        <w:keepNext w:val="0"/>
        <w:keepLines w:val="0"/>
        <w:pageBreakBefore w:val="0"/>
        <w:widowControl w:val="0"/>
        <w:kinsoku/>
        <w:wordWrap/>
        <w:overflowPunct/>
        <w:topLinePunct w:val="0"/>
        <w:autoSpaceDE/>
        <w:autoSpaceDN/>
        <w:bidi w:val="0"/>
        <w:adjustRightInd/>
        <w:snapToGrid/>
        <w:spacing w:line="596" w:lineRule="exact"/>
        <w:ind w:firstLine="590" w:firstLineChars="200"/>
        <w:textAlignment w:val="auto"/>
        <w:rPr>
          <w:rFonts w:hint="eastAsia" w:ascii="仿宋_GB2312"/>
          <w:szCs w:val="32"/>
        </w:rPr>
      </w:pPr>
      <w:r>
        <w:rPr>
          <w:rFonts w:hint="eastAsia" w:ascii="楷体" w:hAnsi="楷体" w:eastAsia="楷体"/>
          <w:b/>
          <w:szCs w:val="32"/>
        </w:rPr>
        <w:t xml:space="preserve">第三条  </w:t>
      </w:r>
      <w:r>
        <w:rPr>
          <w:rFonts w:hint="eastAsia" w:ascii="仿宋_GB2312"/>
          <w:szCs w:val="32"/>
          <w:lang w:eastAsia="zh-CN"/>
        </w:rPr>
        <w:t>县级民政部门</w:t>
      </w:r>
      <w:r>
        <w:rPr>
          <w:rFonts w:hint="eastAsia" w:ascii="仿宋_GB2312"/>
          <w:szCs w:val="32"/>
        </w:rPr>
        <w:t>应当在乡镇人民政府（街道办事处）、村（居）民委员会协助下，对特困人员家庭财产状况进行认定，对生活自理能力进行评估，并根据认定评估结果，确定特困人员是否符合财产状况限制条件和应当享受的照料护理标准档次。有条件的地方，可以委托第三方机构开展特困人员生活自理能力评估。</w:t>
      </w:r>
    </w:p>
    <w:p>
      <w:pPr>
        <w:keepNext w:val="0"/>
        <w:keepLines w:val="0"/>
        <w:pageBreakBefore w:val="0"/>
        <w:widowControl w:val="0"/>
        <w:kinsoku/>
        <w:wordWrap/>
        <w:overflowPunct/>
        <w:topLinePunct w:val="0"/>
        <w:autoSpaceDE/>
        <w:autoSpaceDN/>
        <w:bidi w:val="0"/>
        <w:adjustRightInd/>
        <w:snapToGrid/>
        <w:spacing w:line="596" w:lineRule="exact"/>
        <w:ind w:firstLine="645"/>
        <w:textAlignment w:val="auto"/>
        <w:rPr>
          <w:rFonts w:hint="eastAsia" w:ascii="仿宋_GB2312"/>
          <w:szCs w:val="32"/>
        </w:rPr>
      </w:pPr>
      <w:r>
        <w:rPr>
          <w:rFonts w:hint="eastAsia" w:ascii="楷体" w:hAnsi="楷体" w:eastAsia="楷体"/>
          <w:b/>
          <w:szCs w:val="32"/>
        </w:rPr>
        <w:t xml:space="preserve">第四条  </w:t>
      </w:r>
      <w:r>
        <w:rPr>
          <w:rFonts w:hint="eastAsia" w:ascii="仿宋_GB2312"/>
          <w:szCs w:val="32"/>
        </w:rPr>
        <w:t>特困人员的家庭财产状况和生活自理能力发生变化的，应及时向村（居）民委员会、供养服务机构报告，并及时通过乡镇人民政府（街道办事处）向县级民政部门报告。县级民政部门应当自接到报告之日起10个工作日内组织复核评估，并根据其结果及时认定特困人员财产状况，调整生活自理能力类别。</w:t>
      </w:r>
    </w:p>
    <w:p>
      <w:pPr>
        <w:keepNext w:val="0"/>
        <w:keepLines w:val="0"/>
        <w:pageBreakBefore w:val="0"/>
        <w:widowControl w:val="0"/>
        <w:kinsoku/>
        <w:wordWrap/>
        <w:overflowPunct/>
        <w:topLinePunct w:val="0"/>
        <w:autoSpaceDE/>
        <w:autoSpaceDN/>
        <w:bidi w:val="0"/>
        <w:adjustRightInd/>
        <w:snapToGrid/>
        <w:spacing w:line="596" w:lineRule="exact"/>
        <w:ind w:firstLine="590" w:firstLineChars="200"/>
        <w:textAlignment w:val="auto"/>
        <w:rPr>
          <w:rFonts w:hint="eastAsia" w:ascii="仿宋_GB2312"/>
          <w:szCs w:val="32"/>
        </w:rPr>
      </w:pPr>
      <w:r>
        <w:rPr>
          <w:rFonts w:hint="eastAsia" w:ascii="楷体" w:hAnsi="楷体" w:eastAsia="楷体"/>
          <w:b/>
          <w:szCs w:val="32"/>
        </w:rPr>
        <w:t xml:space="preserve">第五条 </w:t>
      </w:r>
      <w:r>
        <w:rPr>
          <w:rFonts w:hint="eastAsia" w:ascii="仿宋_GB2312"/>
          <w:szCs w:val="32"/>
        </w:rPr>
        <w:t xml:space="preserve"> 家庭财产是指家庭成员拥有的全部动产和不动产。主要包括：</w:t>
      </w:r>
    </w:p>
    <w:p>
      <w:pPr>
        <w:keepNext w:val="0"/>
        <w:keepLines w:val="0"/>
        <w:pageBreakBefore w:val="0"/>
        <w:widowControl w:val="0"/>
        <w:kinsoku/>
        <w:wordWrap/>
        <w:overflowPunct/>
        <w:topLinePunct w:val="0"/>
        <w:autoSpaceDE/>
        <w:autoSpaceDN/>
        <w:bidi w:val="0"/>
        <w:adjustRightInd/>
        <w:snapToGrid/>
        <w:spacing w:line="596" w:lineRule="exact"/>
        <w:ind w:firstLine="590" w:firstLineChars="200"/>
        <w:textAlignment w:val="auto"/>
        <w:rPr>
          <w:rFonts w:hint="eastAsia" w:ascii="仿宋_GB2312" w:hAnsi="Times New Roman" w:cs="Times New Roman"/>
          <w:szCs w:val="32"/>
        </w:rPr>
      </w:pPr>
      <w:r>
        <w:rPr>
          <w:rFonts w:hint="eastAsia" w:ascii="仿宋_GB2312" w:hAnsi="Times New Roman" w:cs="Times New Roman"/>
          <w:szCs w:val="32"/>
        </w:rPr>
        <w:t>（一）银行存款</w:t>
      </w:r>
      <w:r>
        <w:rPr>
          <w:rFonts w:hint="eastAsia" w:ascii="仿宋_GB2312" w:hAnsi="Times New Roman" w:cs="Times New Roman"/>
          <w:szCs w:val="32"/>
          <w:lang w:eastAsia="zh-CN"/>
        </w:rPr>
        <w:t>、</w:t>
      </w:r>
      <w:r>
        <w:rPr>
          <w:rFonts w:hint="eastAsia" w:ascii="仿宋_GB2312" w:hAnsi="Times New Roman" w:cs="Times New Roman"/>
          <w:szCs w:val="32"/>
        </w:rPr>
        <w:t>证券</w:t>
      </w:r>
      <w:r>
        <w:rPr>
          <w:rFonts w:hint="eastAsia" w:ascii="仿宋_GB2312" w:hAnsi="Times New Roman" w:cs="Times New Roman"/>
          <w:szCs w:val="32"/>
          <w:lang w:eastAsia="zh-CN"/>
        </w:rPr>
        <w:t>、基金、商业保险、债权、互联网金融资产</w:t>
      </w:r>
      <w:r>
        <w:rPr>
          <w:rFonts w:hint="eastAsia" w:ascii="仿宋_GB2312" w:hAnsi="Times New Roman" w:cs="Times New Roman"/>
          <w:szCs w:val="32"/>
        </w:rPr>
        <w:t>；</w:t>
      </w:r>
    </w:p>
    <w:p>
      <w:pPr>
        <w:keepNext w:val="0"/>
        <w:keepLines w:val="0"/>
        <w:pageBreakBefore w:val="0"/>
        <w:widowControl w:val="0"/>
        <w:kinsoku/>
        <w:wordWrap/>
        <w:overflowPunct/>
        <w:topLinePunct w:val="0"/>
        <w:autoSpaceDE/>
        <w:autoSpaceDN/>
        <w:bidi w:val="0"/>
        <w:adjustRightInd/>
        <w:snapToGrid/>
        <w:spacing w:line="596" w:lineRule="exact"/>
        <w:ind w:firstLine="590" w:firstLineChars="200"/>
        <w:textAlignment w:val="auto"/>
        <w:rPr>
          <w:rFonts w:hint="eastAsia" w:ascii="仿宋_GB2312" w:hAnsi="Times New Roman" w:cs="Times New Roman"/>
          <w:szCs w:val="32"/>
        </w:rPr>
      </w:pPr>
      <w:r>
        <w:rPr>
          <w:rFonts w:hint="eastAsia" w:ascii="仿宋_GB2312" w:hAnsi="Times New Roman" w:cs="Times New Roman"/>
          <w:szCs w:val="32"/>
        </w:rPr>
        <w:t>（二）机动车辆（残疾人功能性补偿代步机动车辆除外）、船舶；</w:t>
      </w:r>
    </w:p>
    <w:p>
      <w:pPr>
        <w:keepNext w:val="0"/>
        <w:keepLines w:val="0"/>
        <w:pageBreakBefore w:val="0"/>
        <w:widowControl w:val="0"/>
        <w:kinsoku/>
        <w:wordWrap/>
        <w:overflowPunct/>
        <w:topLinePunct w:val="0"/>
        <w:autoSpaceDE/>
        <w:autoSpaceDN/>
        <w:bidi w:val="0"/>
        <w:adjustRightInd/>
        <w:snapToGrid/>
        <w:spacing w:line="596" w:lineRule="exact"/>
        <w:ind w:firstLine="590" w:firstLineChars="200"/>
        <w:textAlignment w:val="auto"/>
        <w:rPr>
          <w:rFonts w:hint="eastAsia" w:ascii="仿宋_GB2312" w:hAnsi="Times New Roman" w:cs="Times New Roman"/>
          <w:szCs w:val="32"/>
        </w:rPr>
      </w:pPr>
      <w:r>
        <w:rPr>
          <w:rFonts w:hint="eastAsia" w:ascii="仿宋_GB2312" w:hAnsi="Times New Roman" w:cs="Times New Roman"/>
          <w:szCs w:val="32"/>
        </w:rPr>
        <w:t>（三）房屋；</w:t>
      </w:r>
    </w:p>
    <w:p>
      <w:pPr>
        <w:keepNext w:val="0"/>
        <w:keepLines w:val="0"/>
        <w:pageBreakBefore w:val="0"/>
        <w:widowControl w:val="0"/>
        <w:kinsoku/>
        <w:wordWrap/>
        <w:overflowPunct/>
        <w:topLinePunct w:val="0"/>
        <w:autoSpaceDE/>
        <w:autoSpaceDN/>
        <w:bidi w:val="0"/>
        <w:adjustRightInd/>
        <w:snapToGrid/>
        <w:spacing w:line="596" w:lineRule="exact"/>
        <w:ind w:firstLine="590" w:firstLineChars="200"/>
        <w:textAlignment w:val="auto"/>
        <w:rPr>
          <w:rFonts w:hint="eastAsia" w:ascii="仿宋_GB2312" w:hAnsi="Times New Roman" w:cs="Times New Roman"/>
          <w:szCs w:val="32"/>
        </w:rPr>
      </w:pPr>
      <w:r>
        <w:rPr>
          <w:rFonts w:hint="eastAsia" w:ascii="仿宋_GB2312" w:hAnsi="Times New Roman" w:cs="Times New Roman"/>
          <w:szCs w:val="32"/>
        </w:rPr>
        <w:t>（四）</w:t>
      </w:r>
      <w:r>
        <w:rPr>
          <w:rFonts w:hint="eastAsia" w:ascii="仿宋_GB2312" w:hAnsi="Times New Roman" w:cs="Times New Roman"/>
          <w:szCs w:val="32"/>
          <w:lang w:eastAsia="zh-CN"/>
        </w:rPr>
        <w:t>林木</w:t>
      </w:r>
      <w:r>
        <w:rPr>
          <w:rFonts w:hint="eastAsia" w:ascii="仿宋_GB2312" w:hAnsi="Times New Roman" w:cs="Times New Roman"/>
          <w:szCs w:val="32"/>
        </w:rPr>
        <w:t>；</w:t>
      </w:r>
    </w:p>
    <w:p>
      <w:pPr>
        <w:keepNext w:val="0"/>
        <w:keepLines w:val="0"/>
        <w:pageBreakBefore w:val="0"/>
        <w:widowControl w:val="0"/>
        <w:kinsoku/>
        <w:wordWrap/>
        <w:overflowPunct/>
        <w:topLinePunct w:val="0"/>
        <w:autoSpaceDE/>
        <w:autoSpaceDN/>
        <w:bidi w:val="0"/>
        <w:adjustRightInd/>
        <w:snapToGrid/>
        <w:spacing w:line="596" w:lineRule="exact"/>
        <w:ind w:firstLine="590" w:firstLineChars="200"/>
        <w:textAlignment w:val="auto"/>
        <w:rPr>
          <w:rFonts w:hint="eastAsia" w:ascii="仿宋_GB2312" w:hAnsi="Times New Roman" w:cs="Times New Roman"/>
          <w:szCs w:val="32"/>
        </w:rPr>
      </w:pPr>
      <w:r>
        <w:rPr>
          <w:rFonts w:hint="eastAsia" w:ascii="仿宋_GB2312" w:hAnsi="Times New Roman" w:cs="Times New Roman"/>
          <w:szCs w:val="32"/>
        </w:rPr>
        <w:t>（五）其他财产。</w:t>
      </w:r>
    </w:p>
    <w:p>
      <w:pPr>
        <w:keepNext w:val="0"/>
        <w:keepLines w:val="0"/>
        <w:pageBreakBefore w:val="0"/>
        <w:widowControl w:val="0"/>
        <w:kinsoku/>
        <w:wordWrap/>
        <w:overflowPunct/>
        <w:topLinePunct w:val="0"/>
        <w:autoSpaceDE/>
        <w:autoSpaceDN/>
        <w:bidi w:val="0"/>
        <w:adjustRightInd/>
        <w:snapToGrid/>
        <w:spacing w:line="596" w:lineRule="exact"/>
        <w:ind w:firstLine="590" w:firstLineChars="200"/>
        <w:textAlignment w:val="auto"/>
        <w:rPr>
          <w:rFonts w:hint="eastAsia" w:ascii="仿宋_GB2312" w:eastAsia="仿宋_GB2312"/>
          <w:szCs w:val="32"/>
          <w:lang w:eastAsia="zh-CN"/>
        </w:rPr>
      </w:pPr>
      <w:r>
        <w:rPr>
          <w:rFonts w:hint="eastAsia" w:ascii="楷体" w:hAnsi="楷体" w:eastAsia="楷体"/>
          <w:b/>
          <w:szCs w:val="32"/>
        </w:rPr>
        <w:t xml:space="preserve">第六条 </w:t>
      </w:r>
      <w:r>
        <w:rPr>
          <w:rFonts w:hint="eastAsia" w:ascii="仿宋_GB2312"/>
          <w:szCs w:val="32"/>
        </w:rPr>
        <w:t xml:space="preserve"> 申请人的家庭财产，按其家庭成员全部实有财产认定</w:t>
      </w:r>
      <w:r>
        <w:rPr>
          <w:rFonts w:hint="eastAsia" w:ascii="仿宋_GB2312"/>
          <w:szCs w:val="32"/>
          <w:lang w:eastAsia="zh-CN"/>
        </w:rPr>
        <w:t>，对于维持家庭生产生活的必需财产，可以在认定家庭财产状况时予以豁免。</w:t>
      </w:r>
    </w:p>
    <w:p>
      <w:pPr>
        <w:keepNext w:val="0"/>
        <w:keepLines w:val="0"/>
        <w:pageBreakBefore w:val="0"/>
        <w:widowControl w:val="0"/>
        <w:kinsoku/>
        <w:wordWrap/>
        <w:overflowPunct/>
        <w:topLinePunct w:val="0"/>
        <w:autoSpaceDE/>
        <w:autoSpaceDN/>
        <w:bidi w:val="0"/>
        <w:adjustRightInd/>
        <w:snapToGrid/>
        <w:spacing w:line="596" w:lineRule="exact"/>
        <w:ind w:firstLine="630"/>
        <w:textAlignment w:val="auto"/>
        <w:rPr>
          <w:rFonts w:hint="eastAsia" w:ascii="仿宋_GB2312"/>
          <w:szCs w:val="32"/>
        </w:rPr>
      </w:pPr>
      <w:r>
        <w:rPr>
          <w:rFonts w:hint="eastAsia" w:ascii="仿宋_GB2312"/>
          <w:szCs w:val="32"/>
        </w:rPr>
        <w:t>（一）金融财产按照实名认定。银行存款按照申请人账户金额认定；股票类资产按照申请受理当日股票市值和资金账户余额的总和认定，基金按照当日净值认定；商业保险按照保险实际理赔认定</w:t>
      </w:r>
      <w:r>
        <w:rPr>
          <w:rFonts w:hint="eastAsia" w:ascii="仿宋_GB2312"/>
          <w:szCs w:val="32"/>
          <w:lang w:eastAsia="zh-CN"/>
        </w:rPr>
        <w:t>；</w:t>
      </w:r>
      <w:r>
        <w:rPr>
          <w:rFonts w:hint="eastAsia" w:ascii="仿宋_GB2312"/>
          <w:szCs w:val="32"/>
        </w:rPr>
        <w:t>债权按照申请人诚信申报情况与债权协议、合同认定</w:t>
      </w:r>
      <w:r>
        <w:rPr>
          <w:rFonts w:hint="eastAsia" w:ascii="仿宋_GB2312"/>
          <w:szCs w:val="32"/>
          <w:lang w:eastAsia="zh-CN"/>
        </w:rPr>
        <w:t>；互联网金融资产按申请人账户金额认定</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line="596" w:lineRule="exact"/>
        <w:ind w:firstLine="630"/>
        <w:textAlignment w:val="auto"/>
        <w:rPr>
          <w:rFonts w:hint="eastAsia" w:ascii="仿宋_GB2312"/>
          <w:szCs w:val="32"/>
        </w:rPr>
      </w:pPr>
      <w:r>
        <w:rPr>
          <w:rFonts w:hint="eastAsia" w:ascii="仿宋_GB2312"/>
          <w:szCs w:val="32"/>
        </w:rPr>
        <w:t>（二）机动车辆、船舶按照登记人认定。</w:t>
      </w:r>
    </w:p>
    <w:p>
      <w:pPr>
        <w:keepNext w:val="0"/>
        <w:keepLines w:val="0"/>
        <w:pageBreakBefore w:val="0"/>
        <w:widowControl w:val="0"/>
        <w:kinsoku/>
        <w:wordWrap/>
        <w:overflowPunct/>
        <w:topLinePunct w:val="0"/>
        <w:autoSpaceDE/>
        <w:autoSpaceDN/>
        <w:bidi w:val="0"/>
        <w:adjustRightInd/>
        <w:snapToGrid/>
        <w:spacing w:line="596" w:lineRule="exact"/>
        <w:ind w:firstLine="630"/>
        <w:textAlignment w:val="auto"/>
        <w:rPr>
          <w:rFonts w:hint="eastAsia" w:ascii="仿宋_GB2312"/>
          <w:szCs w:val="32"/>
        </w:rPr>
      </w:pPr>
      <w:r>
        <w:rPr>
          <w:rFonts w:hint="eastAsia" w:ascii="仿宋_GB2312"/>
          <w:szCs w:val="32"/>
        </w:rPr>
        <w:t>（三）居住类房屋和非居住类房屋，按照《不动产权证》或《房屋所有权证》、《土地使用权证》、《宅基地使用证》的登记人认定。</w:t>
      </w:r>
    </w:p>
    <w:p>
      <w:pPr>
        <w:keepNext w:val="0"/>
        <w:keepLines w:val="0"/>
        <w:pageBreakBefore w:val="0"/>
        <w:widowControl w:val="0"/>
        <w:kinsoku/>
        <w:wordWrap/>
        <w:overflowPunct/>
        <w:topLinePunct w:val="0"/>
        <w:autoSpaceDE/>
        <w:autoSpaceDN/>
        <w:bidi w:val="0"/>
        <w:adjustRightInd/>
        <w:snapToGrid/>
        <w:spacing w:line="596" w:lineRule="exact"/>
        <w:ind w:firstLine="645"/>
        <w:textAlignment w:val="auto"/>
        <w:rPr>
          <w:rFonts w:hint="eastAsia" w:ascii="仿宋_GB2312"/>
          <w:szCs w:val="32"/>
        </w:rPr>
      </w:pPr>
      <w:r>
        <w:rPr>
          <w:rFonts w:hint="eastAsia" w:ascii="楷体" w:hAnsi="楷体" w:eastAsia="楷体"/>
          <w:b/>
          <w:szCs w:val="32"/>
        </w:rPr>
        <w:t xml:space="preserve">第七条 </w:t>
      </w:r>
      <w:r>
        <w:rPr>
          <w:rFonts w:hint="eastAsia" w:ascii="仿宋_GB2312"/>
          <w:szCs w:val="32"/>
        </w:rPr>
        <w:t xml:space="preserve"> 申请人的家庭财产状况有下列情形之一的，不得纳入特困人员救助供养范围：</w:t>
      </w:r>
    </w:p>
    <w:p>
      <w:pPr>
        <w:keepNext w:val="0"/>
        <w:keepLines w:val="0"/>
        <w:pageBreakBefore w:val="0"/>
        <w:widowControl w:val="0"/>
        <w:kinsoku/>
        <w:wordWrap/>
        <w:overflowPunct/>
        <w:topLinePunct w:val="0"/>
        <w:autoSpaceDE/>
        <w:autoSpaceDN/>
        <w:bidi w:val="0"/>
        <w:adjustRightInd/>
        <w:snapToGrid/>
        <w:spacing w:line="596" w:lineRule="exact"/>
        <w:ind w:firstLine="630"/>
        <w:textAlignment w:val="auto"/>
        <w:rPr>
          <w:rFonts w:hint="eastAsia" w:ascii="仿宋_GB2312" w:hAnsi="Times New Roman" w:cs="Times New Roman"/>
          <w:szCs w:val="32"/>
        </w:rPr>
      </w:pPr>
      <w:r>
        <w:rPr>
          <w:rFonts w:hint="eastAsia" w:ascii="仿宋_GB2312" w:hAnsi="Times New Roman" w:cs="Times New Roman"/>
          <w:szCs w:val="32"/>
        </w:rPr>
        <w:t>（一）家庭金融性资产，包括现金、存款以及有价证券</w:t>
      </w:r>
      <w:r>
        <w:rPr>
          <w:rFonts w:hint="eastAsia" w:ascii="仿宋_GB2312" w:hAnsi="Times New Roman" w:cs="Times New Roman"/>
          <w:szCs w:val="32"/>
          <w:lang w:eastAsia="zh-CN"/>
        </w:rPr>
        <w:t>等</w:t>
      </w:r>
      <w:r>
        <w:rPr>
          <w:rFonts w:hint="eastAsia" w:ascii="仿宋_GB2312" w:hAnsi="Times New Roman" w:cs="Times New Roman"/>
          <w:szCs w:val="32"/>
        </w:rPr>
        <w:t>总值</w:t>
      </w:r>
      <w:r>
        <w:rPr>
          <w:rFonts w:hint="eastAsia" w:ascii="仿宋_GB2312" w:hAnsi="Times New Roman" w:cs="Times New Roman"/>
          <w:szCs w:val="32"/>
          <w:lang w:eastAsia="zh-CN"/>
        </w:rPr>
        <w:t>超过当地低保月保准</w:t>
      </w:r>
      <w:r>
        <w:rPr>
          <w:rFonts w:hint="eastAsia" w:ascii="仿宋_GB2312" w:hAnsi="Times New Roman" w:cs="Times New Roman"/>
          <w:szCs w:val="32"/>
          <w:lang w:val="en-US" w:eastAsia="zh-CN"/>
        </w:rPr>
        <w:t>24倍的</w:t>
      </w:r>
      <w:r>
        <w:rPr>
          <w:rFonts w:hint="eastAsia" w:ascii="仿宋_GB2312" w:hAnsi="Times New Roman" w:cs="Times New Roman"/>
          <w:szCs w:val="32"/>
        </w:rPr>
        <w:t>；</w:t>
      </w:r>
    </w:p>
    <w:p>
      <w:pPr>
        <w:keepNext w:val="0"/>
        <w:keepLines w:val="0"/>
        <w:pageBreakBefore w:val="0"/>
        <w:widowControl w:val="0"/>
        <w:kinsoku/>
        <w:wordWrap/>
        <w:overflowPunct/>
        <w:topLinePunct w:val="0"/>
        <w:autoSpaceDE/>
        <w:autoSpaceDN/>
        <w:bidi w:val="0"/>
        <w:adjustRightInd/>
        <w:snapToGrid/>
        <w:spacing w:line="596" w:lineRule="exact"/>
        <w:ind w:firstLine="645"/>
        <w:textAlignment w:val="auto"/>
        <w:rPr>
          <w:rFonts w:hint="eastAsia" w:ascii="仿宋_GB2312"/>
          <w:szCs w:val="32"/>
        </w:rPr>
      </w:pPr>
      <w:r>
        <w:rPr>
          <w:rFonts w:hint="eastAsia" w:ascii="仿宋_GB2312"/>
          <w:szCs w:val="32"/>
        </w:rPr>
        <w:t>（</w:t>
      </w:r>
      <w:r>
        <w:rPr>
          <w:rFonts w:hint="eastAsia" w:ascii="仿宋_GB2312"/>
          <w:szCs w:val="32"/>
          <w:lang w:eastAsia="zh-CN"/>
        </w:rPr>
        <w:t>二</w:t>
      </w:r>
      <w:r>
        <w:rPr>
          <w:rFonts w:hint="eastAsia" w:ascii="仿宋_GB2312"/>
          <w:szCs w:val="32"/>
        </w:rPr>
        <w:t>）拥有机动车辆、船舶的（残疾人功能性补偿代步机动车辆除外）</w:t>
      </w:r>
      <w:r>
        <w:rPr>
          <w:rFonts w:hint="eastAsia" w:ascii="仿宋_GB2312"/>
          <w:szCs w:val="32"/>
          <w:lang w:eastAsia="zh-CN"/>
        </w:rPr>
        <w:t>，价值</w:t>
      </w:r>
      <w:r>
        <w:rPr>
          <w:rFonts w:hint="eastAsia" w:ascii="仿宋_GB2312" w:hAnsi="Times New Roman" w:cs="Times New Roman"/>
          <w:szCs w:val="32"/>
          <w:lang w:eastAsia="zh-CN"/>
        </w:rPr>
        <w:t>超过当地低保月保准</w:t>
      </w:r>
      <w:r>
        <w:rPr>
          <w:rFonts w:hint="eastAsia" w:ascii="仿宋_GB2312" w:hAnsi="Times New Roman" w:cs="Times New Roman"/>
          <w:szCs w:val="32"/>
          <w:lang w:val="en-US" w:eastAsia="zh-CN"/>
        </w:rPr>
        <w:t>24倍的</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line="596" w:lineRule="exact"/>
        <w:ind w:firstLine="645"/>
        <w:textAlignment w:val="auto"/>
        <w:rPr>
          <w:rFonts w:hint="eastAsia" w:ascii="仿宋_GB2312"/>
          <w:szCs w:val="32"/>
        </w:rPr>
      </w:pPr>
      <w:r>
        <w:rPr>
          <w:rFonts w:hint="eastAsia" w:ascii="仿宋_GB2312"/>
          <w:szCs w:val="32"/>
        </w:rPr>
        <w:t>（</w:t>
      </w:r>
      <w:r>
        <w:rPr>
          <w:rFonts w:hint="eastAsia" w:ascii="仿宋_GB2312"/>
          <w:szCs w:val="32"/>
          <w:lang w:eastAsia="zh-CN"/>
        </w:rPr>
        <w:t>三</w:t>
      </w:r>
      <w:r>
        <w:rPr>
          <w:rFonts w:hint="eastAsia" w:ascii="仿宋_GB2312"/>
          <w:szCs w:val="32"/>
        </w:rPr>
        <w:t>）拥有两套以上（含两套）</w:t>
      </w:r>
      <w:r>
        <w:rPr>
          <w:rFonts w:hint="eastAsia" w:ascii="仿宋_GB2312"/>
          <w:szCs w:val="32"/>
          <w:lang w:eastAsia="zh-CN"/>
        </w:rPr>
        <w:t>产权</w:t>
      </w:r>
      <w:r>
        <w:rPr>
          <w:rFonts w:hint="eastAsia" w:ascii="仿宋_GB2312"/>
          <w:szCs w:val="32"/>
        </w:rPr>
        <w:t>住房</w:t>
      </w:r>
      <w:r>
        <w:rPr>
          <w:rFonts w:hint="eastAsia" w:ascii="仿宋_GB2312"/>
          <w:szCs w:val="32"/>
          <w:lang w:eastAsia="zh-CN"/>
        </w:rPr>
        <w:t>且住房总面积超过当地住房保障标准的</w:t>
      </w:r>
      <w:r>
        <w:rPr>
          <w:rFonts w:hint="eastAsia" w:ascii="仿宋_GB2312"/>
          <w:szCs w:val="32"/>
          <w:lang w:val="en-US" w:eastAsia="zh-CN"/>
        </w:rPr>
        <w:t>2倍的</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line="596" w:lineRule="exact"/>
        <w:ind w:firstLine="645"/>
        <w:textAlignment w:val="auto"/>
        <w:rPr>
          <w:rFonts w:hint="eastAsia" w:ascii="仿宋_GB2312"/>
          <w:szCs w:val="32"/>
        </w:rPr>
      </w:pPr>
      <w:r>
        <w:rPr>
          <w:rFonts w:hint="eastAsia" w:ascii="仿宋_GB2312"/>
          <w:szCs w:val="32"/>
        </w:rPr>
        <w:t>（</w:t>
      </w:r>
      <w:r>
        <w:rPr>
          <w:rFonts w:hint="eastAsia" w:ascii="仿宋_GB2312"/>
          <w:szCs w:val="32"/>
          <w:lang w:eastAsia="zh-CN"/>
        </w:rPr>
        <w:t>四</w:t>
      </w:r>
      <w:r>
        <w:rPr>
          <w:rFonts w:hint="eastAsia" w:ascii="仿宋_GB2312"/>
          <w:szCs w:val="32"/>
        </w:rPr>
        <w:t>）</w:t>
      </w:r>
      <w:r>
        <w:rPr>
          <w:rFonts w:hint="eastAsia" w:ascii="仿宋_GB2312"/>
          <w:szCs w:val="32"/>
          <w:lang w:eastAsia="zh-CN"/>
        </w:rPr>
        <w:t>申请人为“企业法人代表”，并正在从事经营活动，或雇佣他人从事经营性活动的</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line="596" w:lineRule="exact"/>
        <w:ind w:firstLine="645"/>
        <w:textAlignment w:val="auto"/>
        <w:rPr>
          <w:rFonts w:hint="eastAsia" w:ascii="仿宋_GB2312"/>
          <w:szCs w:val="32"/>
        </w:rPr>
      </w:pPr>
      <w:r>
        <w:rPr>
          <w:rFonts w:hint="eastAsia" w:ascii="仿宋_GB2312"/>
          <w:szCs w:val="32"/>
        </w:rPr>
        <w:t>（</w:t>
      </w:r>
      <w:r>
        <w:rPr>
          <w:rFonts w:hint="eastAsia" w:ascii="仿宋_GB2312"/>
          <w:szCs w:val="32"/>
          <w:lang w:eastAsia="zh-CN"/>
        </w:rPr>
        <w:t>五</w:t>
      </w:r>
      <w:r>
        <w:rPr>
          <w:rFonts w:hint="eastAsia" w:ascii="仿宋_GB2312"/>
          <w:szCs w:val="32"/>
        </w:rPr>
        <w:t>）拥有出租或自营的商业门面、店铺的；</w:t>
      </w:r>
    </w:p>
    <w:p>
      <w:pPr>
        <w:keepNext w:val="0"/>
        <w:keepLines w:val="0"/>
        <w:pageBreakBefore w:val="0"/>
        <w:widowControl w:val="0"/>
        <w:kinsoku/>
        <w:wordWrap/>
        <w:overflowPunct/>
        <w:topLinePunct w:val="0"/>
        <w:autoSpaceDE/>
        <w:autoSpaceDN/>
        <w:bidi w:val="0"/>
        <w:adjustRightInd/>
        <w:snapToGrid/>
        <w:spacing w:line="596" w:lineRule="exact"/>
        <w:ind w:firstLine="645"/>
        <w:textAlignment w:val="auto"/>
        <w:rPr>
          <w:rFonts w:hint="eastAsia" w:ascii="仿宋_GB2312"/>
          <w:szCs w:val="32"/>
          <w:lang w:eastAsia="zh-CN"/>
        </w:rPr>
      </w:pPr>
      <w:r>
        <w:rPr>
          <w:rFonts w:hint="eastAsia" w:ascii="仿宋_GB2312"/>
          <w:szCs w:val="32"/>
        </w:rPr>
        <w:t>（六）故意转移、</w:t>
      </w:r>
      <w:r>
        <w:rPr>
          <w:rFonts w:ascii="仿宋_GB2312"/>
          <w:szCs w:val="32"/>
        </w:rPr>
        <w:t>赠予</w:t>
      </w:r>
      <w:r>
        <w:rPr>
          <w:rFonts w:hint="eastAsia" w:ascii="仿宋_GB2312"/>
          <w:szCs w:val="32"/>
        </w:rPr>
        <w:t>或隐瞒家庭财产</w:t>
      </w:r>
      <w:r>
        <w:rPr>
          <w:rFonts w:hint="eastAsia" w:ascii="仿宋_GB2312"/>
          <w:szCs w:val="32"/>
          <w:lang w:eastAsia="zh-CN"/>
        </w:rPr>
        <w:t>，或提供虚假材料的。</w:t>
      </w:r>
    </w:p>
    <w:p>
      <w:pPr>
        <w:keepNext w:val="0"/>
        <w:keepLines w:val="0"/>
        <w:pageBreakBefore w:val="0"/>
        <w:widowControl w:val="0"/>
        <w:kinsoku/>
        <w:wordWrap/>
        <w:overflowPunct/>
        <w:topLinePunct w:val="0"/>
        <w:autoSpaceDE/>
        <w:autoSpaceDN/>
        <w:bidi w:val="0"/>
        <w:adjustRightInd/>
        <w:snapToGrid/>
        <w:spacing w:line="596" w:lineRule="exact"/>
        <w:ind w:firstLine="630"/>
        <w:textAlignment w:val="auto"/>
        <w:rPr>
          <w:rFonts w:hint="eastAsia" w:ascii="仿宋_GB2312"/>
          <w:szCs w:val="32"/>
        </w:rPr>
      </w:pPr>
      <w:r>
        <w:rPr>
          <w:rFonts w:hint="eastAsia" w:ascii="楷体_GB2312" w:eastAsia="楷体_GB2312"/>
          <w:b/>
          <w:szCs w:val="32"/>
        </w:rPr>
        <w:t xml:space="preserve">第八条 </w:t>
      </w:r>
      <w:r>
        <w:rPr>
          <w:rFonts w:hint="eastAsia" w:ascii="仿宋_GB2312" w:hAnsi="Times New Roman" w:cs="Times New Roman"/>
          <w:szCs w:val="32"/>
          <w:lang w:eastAsia="zh-CN"/>
        </w:rPr>
        <w:t>县级民政部门</w:t>
      </w:r>
      <w:r>
        <w:rPr>
          <w:rFonts w:hint="eastAsia" w:ascii="仿宋_GB2312"/>
          <w:szCs w:val="32"/>
        </w:rPr>
        <w:t>对申请人家庭财产状况的</w:t>
      </w:r>
      <w:r>
        <w:rPr>
          <w:rFonts w:hint="eastAsia" w:ascii="仿宋_GB2312"/>
          <w:szCs w:val="32"/>
          <w:lang w:eastAsia="zh-CN"/>
        </w:rPr>
        <w:t>认定</w:t>
      </w:r>
      <w:r>
        <w:rPr>
          <w:rFonts w:hint="eastAsia" w:ascii="仿宋_GB2312"/>
          <w:szCs w:val="32"/>
        </w:rPr>
        <w:t>，应当通过以下方式进行：</w:t>
      </w:r>
    </w:p>
    <w:p>
      <w:pPr>
        <w:keepNext w:val="0"/>
        <w:keepLines w:val="0"/>
        <w:pageBreakBefore w:val="0"/>
        <w:widowControl w:val="0"/>
        <w:kinsoku/>
        <w:wordWrap/>
        <w:overflowPunct/>
        <w:topLinePunct w:val="0"/>
        <w:autoSpaceDE/>
        <w:autoSpaceDN/>
        <w:bidi w:val="0"/>
        <w:adjustRightInd/>
        <w:snapToGrid/>
        <w:spacing w:line="596" w:lineRule="exact"/>
        <w:ind w:firstLine="630"/>
        <w:textAlignment w:val="auto"/>
        <w:rPr>
          <w:rFonts w:hint="eastAsia" w:ascii="仿宋_GB2312"/>
          <w:szCs w:val="32"/>
        </w:rPr>
      </w:pPr>
      <w:r>
        <w:rPr>
          <w:rFonts w:hint="eastAsia" w:ascii="仿宋_GB2312"/>
          <w:szCs w:val="32"/>
        </w:rPr>
        <w:t>（一）材料审查：包括乡镇人民政府</w:t>
      </w:r>
      <w:r>
        <w:rPr>
          <w:rFonts w:hint="eastAsia" w:ascii="仿宋_GB2312"/>
          <w:szCs w:val="32"/>
          <w:lang w:eastAsia="zh-CN"/>
        </w:rPr>
        <w:t>（</w:t>
      </w:r>
      <w:r>
        <w:rPr>
          <w:rFonts w:hint="eastAsia" w:ascii="仿宋_GB2312"/>
          <w:szCs w:val="32"/>
        </w:rPr>
        <w:t>街道办事处</w:t>
      </w:r>
      <w:r>
        <w:rPr>
          <w:rFonts w:hint="eastAsia" w:ascii="仿宋_GB2312"/>
          <w:szCs w:val="32"/>
          <w:lang w:eastAsia="zh-CN"/>
        </w:rPr>
        <w:t>）</w:t>
      </w:r>
      <w:r>
        <w:rPr>
          <w:rFonts w:hint="eastAsia" w:ascii="仿宋_GB2312"/>
          <w:szCs w:val="32"/>
        </w:rPr>
        <w:t>上报的所有材料，审查率达到100%。</w:t>
      </w:r>
    </w:p>
    <w:p>
      <w:pPr>
        <w:keepNext w:val="0"/>
        <w:keepLines w:val="0"/>
        <w:pageBreakBefore w:val="0"/>
        <w:widowControl w:val="0"/>
        <w:kinsoku/>
        <w:wordWrap/>
        <w:overflowPunct/>
        <w:topLinePunct w:val="0"/>
        <w:autoSpaceDE/>
        <w:autoSpaceDN/>
        <w:bidi w:val="0"/>
        <w:adjustRightInd/>
        <w:snapToGrid/>
        <w:spacing w:line="596" w:lineRule="exact"/>
        <w:ind w:firstLine="630"/>
        <w:textAlignment w:val="auto"/>
        <w:rPr>
          <w:rFonts w:hint="eastAsia" w:ascii="仿宋_GB2312"/>
          <w:szCs w:val="32"/>
        </w:rPr>
      </w:pPr>
      <w:r>
        <w:rPr>
          <w:rFonts w:hint="eastAsia" w:ascii="仿宋_GB2312"/>
          <w:szCs w:val="32"/>
        </w:rPr>
        <w:t>（二）入户抽查：到申请人家中，实地查看其家庭财产是否与材料内容相符。县级民政部门入户抽查率不得低于30%。</w:t>
      </w:r>
    </w:p>
    <w:p>
      <w:pPr>
        <w:keepNext w:val="0"/>
        <w:keepLines w:val="0"/>
        <w:pageBreakBefore w:val="0"/>
        <w:widowControl w:val="0"/>
        <w:kinsoku/>
        <w:wordWrap/>
        <w:overflowPunct/>
        <w:topLinePunct w:val="0"/>
        <w:autoSpaceDE/>
        <w:autoSpaceDN/>
        <w:bidi w:val="0"/>
        <w:adjustRightInd/>
        <w:snapToGrid/>
        <w:spacing w:line="596" w:lineRule="exact"/>
        <w:ind w:firstLine="630"/>
        <w:textAlignment w:val="auto"/>
        <w:rPr>
          <w:rFonts w:hint="eastAsia" w:ascii="仿宋_GB2312"/>
          <w:szCs w:val="32"/>
        </w:rPr>
      </w:pPr>
      <w:r>
        <w:rPr>
          <w:rFonts w:hint="eastAsia" w:ascii="仿宋_GB2312"/>
          <w:szCs w:val="32"/>
        </w:rPr>
        <w:t>（三）信息核查：</w:t>
      </w:r>
      <w:r>
        <w:rPr>
          <w:rFonts w:hint="eastAsia" w:ascii="仿宋_GB2312"/>
          <w:szCs w:val="32"/>
          <w:lang w:eastAsia="zh-CN"/>
        </w:rPr>
        <w:t>通过四川省家庭经济状况信息核对系统</w:t>
      </w:r>
      <w:r>
        <w:rPr>
          <w:rFonts w:hint="eastAsia" w:ascii="仿宋_GB2312"/>
          <w:szCs w:val="32"/>
        </w:rPr>
        <w:t>对申请人家庭的户籍、车辆、住房、存款、证券等财产信息进行核对，并根据信息核对情况，对申请人家庭财产状况声明的真实性和完整性提出意见。没有</w:t>
      </w:r>
      <w:r>
        <w:rPr>
          <w:rFonts w:hint="eastAsia" w:ascii="仿宋_GB2312"/>
          <w:szCs w:val="32"/>
          <w:lang w:eastAsia="zh-CN"/>
        </w:rPr>
        <w:t>使用</w:t>
      </w:r>
      <w:r>
        <w:rPr>
          <w:rFonts w:hint="eastAsia" w:ascii="仿宋_GB2312"/>
          <w:szCs w:val="32"/>
        </w:rPr>
        <w:t>信息核对平台的地方，应当采用部门联审、手工比对的办法进行核查。核对工作人员不得向无关组织或个人泄露</w:t>
      </w:r>
      <w:r>
        <w:rPr>
          <w:rFonts w:hint="eastAsia" w:ascii="仿宋_GB2312"/>
          <w:szCs w:val="32"/>
          <w:lang w:eastAsia="zh-CN"/>
        </w:rPr>
        <w:t>核对信息</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line="596" w:lineRule="exact"/>
        <w:ind w:firstLine="590" w:firstLineChars="200"/>
        <w:textAlignment w:val="auto"/>
        <w:rPr>
          <w:rFonts w:ascii="仿宋_GB2312"/>
          <w:szCs w:val="32"/>
        </w:rPr>
      </w:pPr>
      <w:r>
        <w:rPr>
          <w:rFonts w:hint="eastAsia" w:ascii="楷体" w:hAnsi="楷体" w:eastAsia="楷体"/>
          <w:b/>
          <w:szCs w:val="32"/>
        </w:rPr>
        <w:t xml:space="preserve">第九条  </w:t>
      </w:r>
      <w:r>
        <w:rPr>
          <w:rFonts w:hint="eastAsia" w:ascii="仿宋_GB2312"/>
          <w:szCs w:val="32"/>
        </w:rPr>
        <w:t>特困人员生活自理能力，参照国际通行标准和《劳动能力鉴定职工工伤与职业病致残等级》（GB/T16180-2014）、《老年人能力评估》（MZ/T039-2013）等有关标准，按照直观、简便、易操作原则，</w:t>
      </w:r>
    </w:p>
    <w:p>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仿宋_GB2312"/>
          <w:szCs w:val="32"/>
        </w:rPr>
      </w:pPr>
      <w:r>
        <w:rPr>
          <w:rFonts w:hint="eastAsia" w:ascii="仿宋_GB2312"/>
          <w:szCs w:val="32"/>
        </w:rPr>
        <w:t>一般依据以下6项指标及其流程综合评估：</w:t>
      </w:r>
    </w:p>
    <w:p>
      <w:pPr>
        <w:keepNext w:val="0"/>
        <w:keepLines w:val="0"/>
        <w:pageBreakBefore w:val="0"/>
        <w:widowControl w:val="0"/>
        <w:kinsoku/>
        <w:wordWrap/>
        <w:overflowPunct/>
        <w:topLinePunct w:val="0"/>
        <w:autoSpaceDE/>
        <w:autoSpaceDN/>
        <w:bidi w:val="0"/>
        <w:adjustRightInd/>
        <w:snapToGrid/>
        <w:spacing w:line="596" w:lineRule="exact"/>
        <w:ind w:firstLine="590" w:firstLineChars="200"/>
        <w:textAlignment w:val="auto"/>
        <w:rPr>
          <w:rFonts w:hint="eastAsia" w:ascii="仿宋_GB2312"/>
          <w:szCs w:val="32"/>
        </w:rPr>
      </w:pPr>
      <w:r>
        <w:rPr>
          <w:rFonts w:hint="eastAsia" w:ascii="仿宋_GB2312"/>
          <w:szCs w:val="32"/>
        </w:rPr>
        <w:t>（一）自主吃饭：握住用餐工具（筷、勺）—筷头在上（勺头在下）—在桌上（手上）对齐筷头—夹饭菜（舀饭菜）—手臂内弯向上齐口边—准确放入口中—合上嘴唇用牙齿吃（磨碎）食物—用舌头辅助搅拌食物—食物顺利吞咽。</w:t>
      </w:r>
    </w:p>
    <w:p>
      <w:pPr>
        <w:keepNext w:val="0"/>
        <w:keepLines w:val="0"/>
        <w:pageBreakBefore w:val="0"/>
        <w:widowControl w:val="0"/>
        <w:kinsoku/>
        <w:wordWrap/>
        <w:overflowPunct/>
        <w:topLinePunct w:val="0"/>
        <w:autoSpaceDE/>
        <w:autoSpaceDN/>
        <w:bidi w:val="0"/>
        <w:adjustRightInd/>
        <w:snapToGrid/>
        <w:spacing w:line="596" w:lineRule="exact"/>
        <w:ind w:firstLine="590" w:firstLineChars="200"/>
        <w:textAlignment w:val="auto"/>
        <w:rPr>
          <w:rFonts w:hint="eastAsia" w:ascii="仿宋_GB2312" w:eastAsia="仿宋_GB2312"/>
          <w:szCs w:val="32"/>
          <w:lang w:eastAsia="zh-CN"/>
        </w:rPr>
      </w:pPr>
      <w:r>
        <w:rPr>
          <w:rFonts w:hint="eastAsia" w:ascii="仿宋_GB2312"/>
          <w:szCs w:val="32"/>
        </w:rPr>
        <w:t>（二）自主穿衣：正确拿起衣服—一手从内面捏住衣领—另一手插入相向衣袖出袖口—捏衣领的手拉动衣服至肩部—向未穿衣袖方向侧腰—弯手插入衣袖至袖口—双手向腹部作拥抱状—拉动衣领整理衣摆—从下至上扣扣子（拉拉链）</w:t>
      </w:r>
      <w:r>
        <w:rPr>
          <w:rFonts w:hint="eastAsia" w:ascii="仿宋_GB2312"/>
          <w:szCs w:val="32"/>
          <w:lang w:eastAsia="zh-CN"/>
        </w:rPr>
        <w:t>。</w:t>
      </w:r>
    </w:p>
    <w:p>
      <w:pPr>
        <w:keepNext w:val="0"/>
        <w:keepLines w:val="0"/>
        <w:pageBreakBefore w:val="0"/>
        <w:widowControl w:val="0"/>
        <w:kinsoku/>
        <w:wordWrap/>
        <w:overflowPunct/>
        <w:topLinePunct w:val="0"/>
        <w:autoSpaceDE/>
        <w:autoSpaceDN/>
        <w:bidi w:val="0"/>
        <w:adjustRightInd/>
        <w:snapToGrid/>
        <w:spacing w:line="596" w:lineRule="exact"/>
        <w:ind w:firstLine="590" w:firstLineChars="200"/>
        <w:textAlignment w:val="auto"/>
        <w:rPr>
          <w:rFonts w:hint="eastAsia" w:ascii="仿宋_GB2312"/>
          <w:szCs w:val="32"/>
        </w:rPr>
      </w:pPr>
      <w:r>
        <w:rPr>
          <w:rFonts w:hint="eastAsia" w:ascii="仿宋_GB2312"/>
          <w:szCs w:val="32"/>
        </w:rPr>
        <w:t>（三）自主上下床：正常弯腰—侧身退坐半臀—单腿抬起至床上—另一脚抬起至床上—侧身、手着力慢躺下—平躺—侧身未压的手着力撑起—单腿着地—抬另一腿自行下床。</w:t>
      </w:r>
    </w:p>
    <w:p>
      <w:pPr>
        <w:keepNext w:val="0"/>
        <w:keepLines w:val="0"/>
        <w:pageBreakBefore w:val="0"/>
        <w:widowControl w:val="0"/>
        <w:kinsoku/>
        <w:wordWrap/>
        <w:overflowPunct/>
        <w:topLinePunct w:val="0"/>
        <w:autoSpaceDE/>
        <w:autoSpaceDN/>
        <w:bidi w:val="0"/>
        <w:adjustRightInd/>
        <w:snapToGrid/>
        <w:spacing w:line="596" w:lineRule="exact"/>
        <w:ind w:firstLine="590" w:firstLineChars="200"/>
        <w:textAlignment w:val="auto"/>
        <w:rPr>
          <w:rFonts w:hint="eastAsia" w:ascii="仿宋_GB2312"/>
          <w:szCs w:val="32"/>
        </w:rPr>
      </w:pPr>
      <w:r>
        <w:rPr>
          <w:rFonts w:hint="eastAsia" w:ascii="仿宋_GB2312"/>
          <w:szCs w:val="32"/>
        </w:rPr>
        <w:t>（四）自主如厕：能自行去厕所—解开衣裤（扣子、拉链、皮带）—站立或蹲下（坐下）—自行擦净—拉上衣裤（扣子、拉链、皮带）—冲水洁厕。</w:t>
      </w:r>
    </w:p>
    <w:p>
      <w:pPr>
        <w:keepNext w:val="0"/>
        <w:keepLines w:val="0"/>
        <w:pageBreakBefore w:val="0"/>
        <w:widowControl w:val="0"/>
        <w:kinsoku/>
        <w:wordWrap/>
        <w:overflowPunct/>
        <w:topLinePunct w:val="0"/>
        <w:autoSpaceDE/>
        <w:autoSpaceDN/>
        <w:bidi w:val="0"/>
        <w:adjustRightInd/>
        <w:snapToGrid/>
        <w:spacing w:line="596" w:lineRule="exact"/>
        <w:ind w:firstLine="590" w:firstLineChars="200"/>
        <w:textAlignment w:val="auto"/>
        <w:rPr>
          <w:rFonts w:hint="eastAsia" w:ascii="仿宋_GB2312"/>
          <w:szCs w:val="32"/>
        </w:rPr>
      </w:pPr>
      <w:r>
        <w:rPr>
          <w:rFonts w:hint="eastAsia" w:ascii="仿宋_GB2312"/>
          <w:szCs w:val="32"/>
        </w:rPr>
        <w:t>（五）室内自主行走：直接站立—抬腿跨出—另一腿提后跟能相同方向跨出—匀速移动—自行转身—上下楼梯—坐下休息。</w:t>
      </w:r>
    </w:p>
    <w:p>
      <w:pPr>
        <w:keepNext w:val="0"/>
        <w:keepLines w:val="0"/>
        <w:pageBreakBefore w:val="0"/>
        <w:widowControl w:val="0"/>
        <w:kinsoku/>
        <w:wordWrap/>
        <w:overflowPunct/>
        <w:topLinePunct w:val="0"/>
        <w:autoSpaceDE/>
        <w:autoSpaceDN/>
        <w:bidi w:val="0"/>
        <w:adjustRightInd/>
        <w:snapToGrid/>
        <w:spacing w:line="596" w:lineRule="exact"/>
        <w:ind w:firstLine="590" w:firstLineChars="200"/>
        <w:textAlignment w:val="auto"/>
        <w:rPr>
          <w:rFonts w:hint="eastAsia" w:ascii="仿宋_GB2312"/>
          <w:szCs w:val="32"/>
        </w:rPr>
      </w:pPr>
      <w:r>
        <w:rPr>
          <w:rFonts w:hint="eastAsia" w:ascii="仿宋_GB2312"/>
          <w:szCs w:val="32"/>
        </w:rPr>
        <w:t>（六）自主洗澡：找准洗澡工具—正确打开热水（进入盆浴）—调试合适温度—双手清洁并使用器具（包括洗头、梳头、洗脸、刷牙、剃须）—用手擦干身体—关闭洗澡器具。</w:t>
      </w:r>
    </w:p>
    <w:p>
      <w:pPr>
        <w:keepNext w:val="0"/>
        <w:keepLines w:val="0"/>
        <w:pageBreakBefore w:val="0"/>
        <w:widowControl w:val="0"/>
        <w:kinsoku/>
        <w:wordWrap/>
        <w:overflowPunct/>
        <w:topLinePunct w:val="0"/>
        <w:autoSpaceDE/>
        <w:autoSpaceDN/>
        <w:bidi w:val="0"/>
        <w:adjustRightInd/>
        <w:snapToGrid/>
        <w:spacing w:line="596" w:lineRule="exact"/>
        <w:ind w:firstLine="590" w:firstLineChars="200"/>
        <w:textAlignment w:val="auto"/>
        <w:rPr>
          <w:rFonts w:hint="eastAsia" w:ascii="仿宋_GB2312"/>
          <w:szCs w:val="32"/>
        </w:rPr>
      </w:pPr>
      <w:r>
        <w:rPr>
          <w:rFonts w:hint="eastAsia" w:ascii="楷体" w:hAnsi="楷体" w:eastAsia="楷体"/>
          <w:b/>
          <w:szCs w:val="32"/>
        </w:rPr>
        <w:t xml:space="preserve">第十条 </w:t>
      </w:r>
      <w:r>
        <w:rPr>
          <w:rFonts w:hint="eastAsia" w:ascii="楷体_GB2312" w:eastAsia="楷体_GB2312"/>
          <w:b/>
          <w:szCs w:val="32"/>
        </w:rPr>
        <w:t xml:space="preserve"> </w:t>
      </w:r>
      <w:r>
        <w:rPr>
          <w:rFonts w:hint="eastAsia" w:ascii="仿宋_GB2312"/>
          <w:szCs w:val="32"/>
        </w:rPr>
        <w:t>根据本细则第九条规定内容，评估特困人员生活自理能力状况，其每项指标流程中任有一项动作不能独立完成或有功能性障碍的，可以视为该项目不达标。6项指标全部达到的，可以视为具备生活自理能力；有3项以下（含3项）指标不能达到的，可以视为部分丧失生活自理能力；有4项以上（含4项）指标不能达到的，可以视为完全丧失生活自理能力。</w:t>
      </w:r>
    </w:p>
    <w:p>
      <w:pPr>
        <w:keepNext w:val="0"/>
        <w:keepLines w:val="0"/>
        <w:pageBreakBefore w:val="0"/>
        <w:widowControl w:val="0"/>
        <w:kinsoku/>
        <w:wordWrap/>
        <w:overflowPunct/>
        <w:topLinePunct w:val="0"/>
        <w:autoSpaceDE/>
        <w:autoSpaceDN/>
        <w:bidi w:val="0"/>
        <w:adjustRightInd/>
        <w:snapToGrid/>
        <w:spacing w:line="596" w:lineRule="exact"/>
        <w:ind w:firstLine="630"/>
        <w:textAlignment w:val="auto"/>
        <w:rPr>
          <w:rFonts w:hint="eastAsia" w:ascii="仿宋_GB2312"/>
          <w:szCs w:val="32"/>
        </w:rPr>
      </w:pPr>
      <w:r>
        <w:rPr>
          <w:rFonts w:hint="eastAsia" w:ascii="楷体_GB2312" w:eastAsia="楷体_GB2312"/>
          <w:b/>
          <w:szCs w:val="32"/>
        </w:rPr>
        <w:t>第十一条</w:t>
      </w:r>
      <w:r>
        <w:rPr>
          <w:rFonts w:hint="eastAsia" w:ascii="仿宋_GB2312"/>
          <w:szCs w:val="32"/>
        </w:rPr>
        <w:t xml:space="preserve">  特困人员家庭财产状况认定与生活自理能力评估工作人员</w:t>
      </w:r>
      <w:r>
        <w:rPr>
          <w:rFonts w:hint="eastAsia" w:ascii="仿宋_GB2312" w:hAnsi="宋体" w:cs="宋体"/>
          <w:color w:val="000000"/>
          <w:kern w:val="0"/>
          <w:szCs w:val="32"/>
        </w:rPr>
        <w:t>滥用职权、玩忽职守、徇私舞弊的，依纪依法严肃追究责任。</w:t>
      </w:r>
    </w:p>
    <w:p>
      <w:pPr>
        <w:keepNext w:val="0"/>
        <w:keepLines w:val="0"/>
        <w:pageBreakBefore w:val="0"/>
        <w:widowControl w:val="0"/>
        <w:kinsoku/>
        <w:wordWrap/>
        <w:overflowPunct/>
        <w:topLinePunct w:val="0"/>
        <w:autoSpaceDE/>
        <w:autoSpaceDN/>
        <w:bidi w:val="0"/>
        <w:adjustRightInd/>
        <w:snapToGrid/>
        <w:spacing w:line="596" w:lineRule="exact"/>
        <w:ind w:firstLine="590" w:firstLineChars="200"/>
        <w:textAlignment w:val="auto"/>
        <w:rPr>
          <w:rFonts w:hint="eastAsia" w:ascii="仿宋_GB2312"/>
          <w:szCs w:val="32"/>
        </w:rPr>
      </w:pPr>
      <w:r>
        <w:rPr>
          <w:rFonts w:hint="eastAsia" w:ascii="楷体_GB2312" w:eastAsia="楷体_GB2312"/>
          <w:b/>
          <w:szCs w:val="32"/>
        </w:rPr>
        <w:t>第十二条</w:t>
      </w:r>
      <w:r>
        <w:rPr>
          <w:rFonts w:hint="eastAsia" w:ascii="仿宋_GB2312"/>
          <w:szCs w:val="32"/>
        </w:rPr>
        <w:t xml:space="preserve">  本细则由市民政局负责解释。</w:t>
      </w:r>
    </w:p>
    <w:p>
      <w:pPr>
        <w:keepNext w:val="0"/>
        <w:keepLines w:val="0"/>
        <w:pageBreakBefore w:val="0"/>
        <w:widowControl w:val="0"/>
        <w:kinsoku/>
        <w:wordWrap/>
        <w:overflowPunct/>
        <w:topLinePunct w:val="0"/>
        <w:autoSpaceDE/>
        <w:autoSpaceDN/>
        <w:bidi w:val="0"/>
        <w:adjustRightInd/>
        <w:snapToGrid/>
        <w:spacing w:line="596" w:lineRule="exact"/>
        <w:ind w:firstLine="630"/>
        <w:textAlignment w:val="auto"/>
        <w:rPr>
          <w:rFonts w:hint="eastAsia" w:ascii="仿宋_GB2312"/>
          <w:szCs w:val="32"/>
        </w:rPr>
      </w:pPr>
    </w:p>
    <w:p/>
    <w:sectPr>
      <w:headerReference r:id="rId4" w:type="first"/>
      <w:footerReference r:id="rId7" w:type="first"/>
      <w:headerReference r:id="rId3" w:type="default"/>
      <w:footerReference r:id="rId5" w:type="default"/>
      <w:footerReference r:id="rId6" w:type="even"/>
      <w:pgSz w:w="11906" w:h="16838"/>
      <w:pgMar w:top="2098" w:right="1474" w:bottom="1984" w:left="1587" w:header="851" w:footer="1701" w:gutter="0"/>
      <w:cols w:space="720" w:num="1"/>
      <w:docGrid w:type="linesAndChars" w:linePitch="579" w:charSpace="-5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242" w:wrap="notBeside" w:vAnchor="page" w:hAnchor="page" w:x="8869" w:y="15197"/>
      <w:jc w:val="right"/>
      <w:rPr>
        <w:rStyle w:val="8"/>
        <w:sz w:val="28"/>
      </w:rPr>
    </w:pPr>
    <w:r>
      <w:rPr>
        <w:rStyle w:val="8"/>
        <w:rFonts w:hint="eastAsia" w:ascii="仿宋_GB2312"/>
        <w:sz w:val="28"/>
      </w:rPr>
      <w:t>—</w:t>
    </w:r>
    <w:r>
      <w:rPr>
        <w:rStyle w:val="8"/>
        <w:sz w:val="28"/>
      </w:rPr>
      <w:t xml:space="preserve"> </w:t>
    </w:r>
    <w:r>
      <w:rPr>
        <w:rStyle w:val="8"/>
        <w:sz w:val="28"/>
      </w:rPr>
      <w:fldChar w:fldCharType="begin"/>
    </w:r>
    <w:r>
      <w:rPr>
        <w:rStyle w:val="8"/>
        <w:sz w:val="28"/>
      </w:rPr>
      <w:instrText xml:space="preserve">PAGE  </w:instrText>
    </w:r>
    <w:r>
      <w:rPr>
        <w:rStyle w:val="8"/>
        <w:sz w:val="28"/>
      </w:rPr>
      <w:fldChar w:fldCharType="separate"/>
    </w:r>
    <w:r>
      <w:rPr>
        <w:rStyle w:val="8"/>
        <w:sz w:val="28"/>
      </w:rPr>
      <w:t>3</w:t>
    </w:r>
    <w:r>
      <w:rPr>
        <w:rStyle w:val="8"/>
        <w:sz w:val="28"/>
      </w:rPr>
      <w:fldChar w:fldCharType="end"/>
    </w:r>
    <w:r>
      <w:rPr>
        <w:rStyle w:val="8"/>
        <w:sz w:val="28"/>
      </w:rPr>
      <w:t xml:space="preserve"> </w:t>
    </w:r>
    <w:r>
      <w:rPr>
        <w:rStyle w:val="8"/>
        <w:rFonts w:hint="eastAsia" w:ascii="仿宋_GB2312"/>
        <w:sz w:val="28"/>
      </w:rPr>
      <w:t>—</w:t>
    </w:r>
  </w:p>
  <w:p>
    <w:pPr>
      <w:pStyle w:val="4"/>
      <w:tabs>
        <w:tab w:val="right" w:pos="8532"/>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hSpace="170" w:wrap="around" w:vAnchor="text" w:hAnchor="page" w:x="1929" w:y="12"/>
      <w:rPr>
        <w:rStyle w:val="8"/>
        <w:sz w:val="28"/>
      </w:rPr>
    </w:pPr>
    <w:r>
      <w:rPr>
        <w:rStyle w:val="8"/>
        <w:rFonts w:hint="eastAsia" w:ascii="仿宋_GB2312"/>
        <w:sz w:val="28"/>
      </w:rPr>
      <w:t>—</w:t>
    </w:r>
    <w:r>
      <w:rPr>
        <w:rStyle w:val="8"/>
        <w:sz w:val="28"/>
      </w:rPr>
      <w:t xml:space="preserve"> </w:t>
    </w:r>
    <w:r>
      <w:rPr>
        <w:rStyle w:val="8"/>
        <w:sz w:val="28"/>
      </w:rPr>
      <w:fldChar w:fldCharType="begin"/>
    </w:r>
    <w:r>
      <w:rPr>
        <w:rStyle w:val="8"/>
        <w:sz w:val="28"/>
      </w:rPr>
      <w:instrText xml:space="preserve">PAGE  </w:instrText>
    </w:r>
    <w:r>
      <w:rPr>
        <w:rStyle w:val="8"/>
        <w:sz w:val="28"/>
      </w:rPr>
      <w:fldChar w:fldCharType="separate"/>
    </w:r>
    <w:r>
      <w:rPr>
        <w:rStyle w:val="8"/>
        <w:sz w:val="28"/>
      </w:rPr>
      <w:t>2</w:t>
    </w:r>
    <w:r>
      <w:rPr>
        <w:rStyle w:val="8"/>
        <w:sz w:val="28"/>
      </w:rPr>
      <w:fldChar w:fldCharType="end"/>
    </w:r>
    <w:r>
      <w:rPr>
        <w:rStyle w:val="8"/>
        <w:sz w:val="28"/>
      </w:rPr>
      <w:t xml:space="preserve"> </w:t>
    </w:r>
    <w:r>
      <w:rPr>
        <w:rStyle w:val="8"/>
        <w:rFonts w:hint="eastAsia" w:ascii="仿宋_GB2312"/>
        <w:sz w:val="28"/>
      </w:rPr>
      <w:t>—</w:t>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true"/>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F06BB"/>
    <w:rsid w:val="7AF34344"/>
    <w:rsid w:val="7EEF06BB"/>
    <w:rsid w:val="BAFFCC2B"/>
    <w:rsid w:val="DBDD6DD2"/>
    <w:rsid w:val="DFD055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0"/>
    <w:qFormat/>
    <w:uiPriority w:val="0"/>
    <w:pPr>
      <w:keepNext/>
      <w:keepLines/>
      <w:spacing w:before="480" w:after="480" w:line="240" w:lineRule="auto"/>
      <w:outlineLvl w:val="0"/>
    </w:pPr>
    <w:rPr>
      <w:rFonts w:ascii="Calibri" w:hAnsi="Calibri" w:eastAsia="黑体" w:cs="Times New Roman"/>
      <w:b/>
      <w:kern w:val="44"/>
      <w:sz w:val="36"/>
    </w:rPr>
  </w:style>
  <w:style w:type="paragraph" w:styleId="3">
    <w:name w:val="heading 2"/>
    <w:basedOn w:val="1"/>
    <w:next w:val="1"/>
    <w:unhideWhenUsed/>
    <w:qFormat/>
    <w:uiPriority w:val="0"/>
    <w:pPr>
      <w:keepNext/>
      <w:keepLines/>
      <w:adjustRightInd w:val="0"/>
      <w:snapToGrid w:val="0"/>
      <w:spacing w:line="360" w:lineRule="auto"/>
      <w:ind w:firstLine="1920" w:firstLineChars="200"/>
      <w:outlineLvl w:val="1"/>
    </w:pPr>
    <w:rPr>
      <w:rFonts w:ascii="Arial" w:hAnsi="Arial" w:eastAsia="黑体" w:cs="Times New Roman"/>
      <w:b/>
      <w:sz w:val="30"/>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uiPriority w:val="0"/>
    <w:rPr>
      <w:color w:val="0000FF"/>
      <w:u w:val="single"/>
    </w:rPr>
  </w:style>
  <w:style w:type="character" w:customStyle="1" w:styleId="10">
    <w:name w:val="标题 1 Char"/>
    <w:link w:val="2"/>
    <w:qFormat/>
    <w:uiPriority w:val="0"/>
    <w:rPr>
      <w:rFonts w:ascii="Calibri" w:hAnsi="Calibri" w:eastAsia="黑体" w:cs="Times New Roman"/>
      <w:b/>
      <w:kern w:val="44"/>
      <w:sz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10.6666666666667</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2023-03-25T02:10:00Z</dcterms:created>
  <dc:creator>user</dc:creator>
  <cp:lastModifiedBy>user</cp:lastModifiedBy>
  <cp:lastPrinted>2023-03-25T03:08:56Z</cp:lastPrinted>
  <dcterms:modified xsi:type="dcterms:W3CDTF">2023-03-24T12:19:25Z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