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提升农村交通运输服务水平“三项工程”</w:t>
      </w:r>
      <w:r>
        <w:rPr>
          <w:rFonts w:hint="eastAsia" w:ascii="方正小标宋简体" w:hAnsi="方正小标宋简体" w:eastAsia="方正小标宋简体" w:cs="方正小标宋简体"/>
          <w:sz w:val="44"/>
          <w:szCs w:val="36"/>
          <w:lang w:val="en-US" w:eastAsia="zh-CN"/>
        </w:rPr>
        <w:t xml:space="preserve">     </w:t>
      </w:r>
      <w:r>
        <w:rPr>
          <w:rFonts w:hint="eastAsia" w:ascii="方正小标宋简体" w:hAnsi="方正小标宋简体" w:eastAsia="方正小标宋简体" w:cs="方正小标宋简体"/>
          <w:sz w:val="44"/>
          <w:szCs w:val="36"/>
        </w:rPr>
        <w:t>工作方案</w:t>
      </w:r>
    </w:p>
    <w:p>
      <w:pPr>
        <w:spacing w:line="600" w:lineRule="exact"/>
        <w:jc w:val="center"/>
        <w:rPr>
          <w:rFonts w:hint="eastAsia" w:ascii="方正小标宋简体" w:hAnsi="方正小标宋简体" w:eastAsia="方正小标宋简体" w:cs="方正小标宋简体"/>
          <w:sz w:val="44"/>
          <w:szCs w:val="36"/>
          <w:lang w:eastAsia="zh-CN"/>
        </w:rPr>
      </w:pPr>
      <w:r>
        <w:rPr>
          <w:rFonts w:hint="eastAsia" w:ascii="楷体_GB2312" w:hAnsi="楷体_GB2312" w:eastAsia="楷体_GB2312" w:cs="楷体_GB2312"/>
          <w:b/>
          <w:bCs/>
          <w:sz w:val="32"/>
          <w:szCs w:val="32"/>
          <w:lang w:eastAsia="zh-CN"/>
        </w:rPr>
        <w:t>（征求意</w:t>
      </w:r>
      <w:bookmarkStart w:id="0" w:name="_GoBack"/>
      <w:bookmarkEnd w:id="0"/>
      <w:r>
        <w:rPr>
          <w:rFonts w:hint="eastAsia" w:ascii="楷体_GB2312" w:hAnsi="楷体_GB2312" w:eastAsia="楷体_GB2312" w:cs="楷体_GB2312"/>
          <w:b/>
          <w:bCs/>
          <w:sz w:val="32"/>
          <w:szCs w:val="32"/>
          <w:lang w:eastAsia="zh-CN"/>
        </w:rPr>
        <w:t>见稿）</w:t>
      </w:r>
    </w:p>
    <w:p>
      <w:pPr>
        <w:rPr>
          <w:rFonts w:ascii="Times New Roman" w:hAnsi="Times New Roman" w:eastAsia="仿宋_GB2312" w:cs="Times New Roman"/>
          <w:sz w:val="32"/>
          <w:szCs w:val="32"/>
        </w:rPr>
      </w:pPr>
    </w:p>
    <w:p>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贯彻落实省委、省政府关于做好乡镇行政区划和村级建制调整改革“后半篇”文章的战略部署，全面加快推进2021年撤并建制村畅通工程、乡村振兴产业路旅游路工程、乡村运输“金通工程”等三项工程落实落地，全面提升农村交通运输服务水平，根据省交通运输厅印发的《提升农村交通运输服务水平“三项工程”推进方案》，结合我市实际情况，特制定本方案。</w:t>
      </w:r>
    </w:p>
    <w:p>
      <w:pPr>
        <w:spacing w:line="520" w:lineRule="exact"/>
        <w:ind w:firstLine="640" w:firstLineChars="200"/>
        <w:rPr>
          <w:rFonts w:ascii="黑体" w:hAnsi="黑体" w:eastAsia="黑体" w:cs="仿宋"/>
          <w:sz w:val="32"/>
          <w:szCs w:val="32"/>
        </w:rPr>
      </w:pPr>
      <w:r>
        <w:rPr>
          <w:rFonts w:hint="eastAsia" w:ascii="黑体" w:hAnsi="黑体" w:eastAsia="黑体" w:cs="仿宋"/>
          <w:sz w:val="32"/>
          <w:szCs w:val="32"/>
        </w:rPr>
        <w:t>一、工作目标</w:t>
      </w:r>
    </w:p>
    <w:p>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坚持以习近平新时代中国特色社会主义思想为指导，深入贯彻落实省委十一届六次全会部署，紧紧围绕巩固拓展脱贫攻坚成果、推进乡村振兴战略实施和县域经济高质量发展，聚焦两项改革后出现的新需求，按照“基础设施建设不削弱、基本公共服务不降低”的要求和“总体规划、分布实施、一年见效”的基本思路，进一步优化完善农村路网结构，创新提升运输服务水平，为持续巩固深化全省乡镇行政区划调整和村级建制村调整改革成果当好先行、提供支撑。</w:t>
      </w:r>
    </w:p>
    <w:p>
      <w:pPr>
        <w:spacing w:line="520" w:lineRule="exact"/>
        <w:ind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t>到2021年底，实施撤并建制村畅通工程485.8公里，基本解决撤并建制村与新村委会缺乏直接道路的问题；实施产业路旅游路116公里，力争打造一批路景交融的美丽乡村示范路；实现乡村客运“金通工程”全覆盖，力争创建一个“金通工程”样板县。</w:t>
      </w:r>
      <w:r>
        <w:rPr>
          <w:rFonts w:hint="eastAsia" w:ascii="仿宋_GB2312" w:hAnsi="仿宋" w:eastAsia="仿宋_GB2312" w:cs="仿宋"/>
          <w:sz w:val="32"/>
          <w:szCs w:val="32"/>
          <w:u w:val="single"/>
        </w:rPr>
        <w:t>2022-2025年，实施撤并建制村畅通工程2000公里，撤并建制村与新村委会直接道路全面提升；实施产业路旅游路200公里，农村路网支撑产业和旅游发展能力持续增强；乡村客运“金通工程”可持续发展长效机制基本建立，力争再创建1个“金通工程”样板县。</w:t>
      </w:r>
    </w:p>
    <w:p>
      <w:pPr>
        <w:spacing w:line="520" w:lineRule="exact"/>
        <w:ind w:firstLine="640" w:firstLineChars="200"/>
        <w:rPr>
          <w:rFonts w:ascii="黑体" w:hAnsi="黑体" w:eastAsia="黑体" w:cs="仿宋"/>
          <w:sz w:val="32"/>
          <w:szCs w:val="32"/>
        </w:rPr>
      </w:pPr>
      <w:r>
        <w:rPr>
          <w:rFonts w:hint="eastAsia" w:ascii="黑体" w:hAnsi="黑体" w:eastAsia="黑体" w:cs="仿宋"/>
          <w:sz w:val="32"/>
          <w:szCs w:val="32"/>
        </w:rPr>
        <w:t>二、阶段性任务</w:t>
      </w:r>
    </w:p>
    <w:p>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2021年，各县区按照“4月全面开工，9月加快推进，12月全面完工”的总体安排，分阶段推进项目实施。</w:t>
      </w:r>
    </w:p>
    <w:p>
      <w:pPr>
        <w:spacing w:line="52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（一）全面启动阶段（2021年1月至4月）</w:t>
      </w:r>
    </w:p>
    <w:p>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各县区按照本方案要求，制订2021年“三项工程”集中攻坚具体实施方案，全面启动工程建设。</w:t>
      </w:r>
    </w:p>
    <w:p>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阶段性目标：撤并建制村畅通工程项目全面完成前期工作，启动建设。其中，社会稳定影响较大、群众矛盾较突出的计划于</w:t>
      </w:r>
      <w:r>
        <w:rPr>
          <w:rFonts w:hint="eastAsia" w:ascii="仿宋_GB2312" w:hAnsi="仿宋" w:eastAsia="仿宋_GB2312" w:cs="仿宋"/>
          <w:sz w:val="32"/>
          <w:szCs w:val="32"/>
          <w:u w:val="single"/>
        </w:rPr>
        <w:t>3月底完成前期工作，4月中旬开工建设；</w:t>
      </w:r>
      <w:r>
        <w:rPr>
          <w:rFonts w:hint="eastAsia" w:ascii="仿宋_GB2312" w:hAnsi="仿宋" w:eastAsia="仿宋_GB2312" w:cs="仿宋"/>
          <w:sz w:val="32"/>
          <w:szCs w:val="32"/>
        </w:rPr>
        <w:t>乡村振兴产业路旅游路工程加快推进前期各项工作，力争先开工建设部分项目；加快实施乡村运输“金通工程”。</w:t>
      </w:r>
    </w:p>
    <w:p>
      <w:pPr>
        <w:spacing w:line="52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（二）加快实施阶段（2021年5月至9月）</w:t>
      </w:r>
    </w:p>
    <w:p>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各县区进一步聚焦重点，对标对表，加强组织协调，完善工作措施，全力加快“三项工程”推进。</w:t>
      </w:r>
    </w:p>
    <w:p>
      <w:pPr>
        <w:spacing w:line="520" w:lineRule="exact"/>
        <w:ind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t>阶段性目标：撤并建制村畅通工程加快推进，力争完成300公里；乡村振兴产业路旅游路工程进入攻坚阶段，力争累计建成60公里。</w:t>
      </w:r>
      <w:r>
        <w:rPr>
          <w:rFonts w:hint="eastAsia" w:ascii="仿宋_GB2312" w:hAnsi="仿宋" w:eastAsia="仿宋_GB2312" w:cs="仿宋"/>
          <w:sz w:val="32"/>
          <w:szCs w:val="32"/>
          <w:u w:val="single"/>
        </w:rPr>
        <w:t>加快推进乡村运输“金通工程”，力争7个县区全覆盖。</w:t>
      </w:r>
    </w:p>
    <w:p>
      <w:pPr>
        <w:spacing w:line="52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（三）收官验收阶段（2021年10月至12月）</w:t>
      </w:r>
    </w:p>
    <w:p>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各县区集中力量，再接再厉，全力以赴打好2021年“三项工程”收官战，圆满完成全面目标任务。</w:t>
      </w:r>
    </w:p>
    <w:p>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阶段性目标：撤并建制村畅通工程累计建成485.8公里；乡村振兴产业路旅游路工程实施116公里；乡村运输“金通工程”全面实现乡村客运车辆外观、招呼站牌、乡村客运标识、从业人员标识“四统一”。各地力争11月底前全面完成“三项工程”年度目标任务，12月底前开展评定验收。</w:t>
      </w:r>
    </w:p>
    <w:p>
      <w:pPr>
        <w:spacing w:line="520" w:lineRule="exact"/>
        <w:ind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t>2022-2025年，</w:t>
      </w:r>
      <w:r>
        <w:rPr>
          <w:rFonts w:hint="eastAsia" w:ascii="仿宋_GB2312" w:hAnsi="仿宋" w:eastAsia="仿宋_GB2312" w:cs="仿宋"/>
          <w:sz w:val="32"/>
          <w:szCs w:val="32"/>
          <w:u w:val="single"/>
        </w:rPr>
        <w:t>实施撤并建制村畅通工程2000公里，撤并建制村与新村委会之间直连道路100%实现硬化或油化，路面宽度大道4.5米及以上；实施产业路旅游路200公里，具备条件的县级及以上产业园区、国家级3A级及以上旅游景区通四级双车道及以上公路；乡村客运“金通工程”保持稳定的可持续发展模式，具备条件的乡镇实现运输综合服务站全覆盖，乡村运输综合服务体系持续完善。</w:t>
      </w:r>
    </w:p>
    <w:p>
      <w:pPr>
        <w:spacing w:line="520" w:lineRule="exact"/>
        <w:ind w:firstLine="640" w:firstLineChars="200"/>
        <w:rPr>
          <w:rFonts w:ascii="黑体" w:hAnsi="黑体" w:eastAsia="黑体" w:cs="仿宋"/>
          <w:sz w:val="32"/>
          <w:szCs w:val="32"/>
        </w:rPr>
      </w:pPr>
      <w:r>
        <w:rPr>
          <w:rFonts w:hint="eastAsia" w:ascii="黑体" w:hAnsi="黑体" w:eastAsia="黑体" w:cs="仿宋"/>
          <w:sz w:val="32"/>
          <w:szCs w:val="32"/>
        </w:rPr>
        <w:t>三、培育示范标杆</w:t>
      </w:r>
    </w:p>
    <w:p>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按照“示范带动、统筹推进”的原则，围绕乡村振兴战略实施，统筹推进“‘四好农村路’示范县”和“乡村振兴，交通先行”样板县示范创建工作，以示范创建为引领，加快构建与我市经济社会发展相适应、符合我市农村特点的农村公路高质量发展体系，为全市农村各项事业高质量发展提供更好的交通运输保障。</w:t>
      </w:r>
    </w:p>
    <w:p>
      <w:pPr>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同时以朝天区曾家山、昭化区柏林古镇、青川县清溪镇等产业路资源路建设为支撑，探索“交通+”深度融合发展模式，并争取旅游路资源路项目与市级示范乡镇结合，将农村公路建设与文化旅游、现代农业园区、美丽乡村等融合，围绕公路支撑产业发展、公路与旅游景观协调等方面，提升运输服务品质。</w:t>
      </w:r>
    </w:p>
    <w:p>
      <w:pPr>
        <w:spacing w:line="520" w:lineRule="exact"/>
        <w:ind w:firstLine="640" w:firstLineChars="200"/>
        <w:rPr>
          <w:rFonts w:ascii="黑体" w:hAnsi="黑体" w:eastAsia="黑体" w:cs="仿宋"/>
          <w:sz w:val="32"/>
          <w:szCs w:val="32"/>
        </w:rPr>
      </w:pPr>
      <w:r>
        <w:rPr>
          <w:rFonts w:hint="eastAsia" w:ascii="黑体" w:hAnsi="黑体" w:eastAsia="黑体" w:cs="仿宋"/>
          <w:sz w:val="32"/>
          <w:szCs w:val="32"/>
        </w:rPr>
        <w:t>四、组织保障</w:t>
      </w:r>
    </w:p>
    <w:p>
      <w:pPr>
        <w:spacing w:line="520" w:lineRule="exact"/>
        <w:ind w:firstLine="640" w:firstLineChars="200"/>
        <w:rPr>
          <w:rFonts w:ascii="仿宋_GB2312" w:hAnsi="仿宋" w:eastAsia="仿宋_GB2312" w:cs="仿宋"/>
          <w:sz w:val="32"/>
          <w:szCs w:val="32"/>
        </w:rPr>
      </w:pPr>
      <w:r>
        <w:rPr>
          <w:rFonts w:hint="eastAsia" w:ascii="楷体_GB2312" w:hAnsi="仿宋" w:eastAsia="楷体_GB2312" w:cs="仿宋"/>
          <w:sz w:val="32"/>
          <w:szCs w:val="32"/>
        </w:rPr>
        <w:t>（一）加强组织领导。</w:t>
      </w:r>
      <w:r>
        <w:rPr>
          <w:rFonts w:hint="eastAsia" w:ascii="仿宋_GB2312" w:hAnsi="仿宋" w:eastAsia="仿宋_GB2312" w:cs="仿宋"/>
          <w:sz w:val="32"/>
          <w:szCs w:val="32"/>
        </w:rPr>
        <w:t>农村交通运输是实现乡村振兴和农业现代化的基础保障，实施“三项工程”是落实省委、省政府和市委市政府两项改革“后半篇”文章的重要举措，各县区人民政府是“三项工程”推进的责任主体，要统一思想、集中精力，并加强组织领导、细化方案、分解任务、压实责任，以高度的责任感和紧迫感，高质量推动项目实施。各县区交通运输部门是实施主体，具体负责组织实施。市交通运输局负责统筹协调、服务指导和督促检查各地推进。</w:t>
      </w:r>
    </w:p>
    <w:p>
      <w:pPr>
        <w:spacing w:line="520" w:lineRule="exact"/>
        <w:ind w:firstLine="640" w:firstLineChars="200"/>
        <w:jc w:val="left"/>
        <w:rPr>
          <w:rFonts w:ascii="仿宋_GB2312" w:hAnsi="仿宋" w:eastAsia="仿宋_GB2312" w:cs="仿宋"/>
          <w:sz w:val="32"/>
          <w:szCs w:val="32"/>
        </w:rPr>
      </w:pPr>
      <w:r>
        <w:rPr>
          <w:rFonts w:hint="eastAsia" w:ascii="楷体_GB2312" w:hAnsi="仿宋" w:eastAsia="楷体_GB2312" w:cs="仿宋"/>
          <w:sz w:val="32"/>
          <w:szCs w:val="32"/>
        </w:rPr>
        <w:t>（二）建立要素保障。</w:t>
      </w:r>
      <w:r>
        <w:rPr>
          <w:rFonts w:hint="eastAsia" w:ascii="仿宋_GB2312" w:hAnsi="仿宋" w:eastAsia="仿宋_GB2312" w:cs="仿宋"/>
          <w:sz w:val="32"/>
          <w:szCs w:val="32"/>
        </w:rPr>
        <w:t>各县区要按照工作方案的总体要求，建立相应的工作专班，明确配套措施和各阶段实施步骤，在资金支持、建设用地、地材使用、建设环境、技术支持等方面为“三项工程”建设提供要素保障。一是要加大对“三项工程”资金投入力度，将项目建设资金纳入财政预算，并通过财政资金整、争取债券资金支持、引入社会资本投入、发动群众捐资投劳等方式多渠道筹集资金，保障项目建设；二是发挥好村民委员会的作用，要用好用足土地政策，保障项目用地供给；三是充分保障交通建设砂石等地材供应，营造优良的外部建设环境。</w:t>
      </w:r>
    </w:p>
    <w:p>
      <w:pPr>
        <w:spacing w:line="520" w:lineRule="exact"/>
        <w:ind w:firstLine="640" w:firstLineChars="200"/>
        <w:jc w:val="left"/>
        <w:rPr>
          <w:rFonts w:ascii="仿宋_GB2312" w:hAnsi="仿宋" w:eastAsia="仿宋_GB2312" w:cs="仿宋"/>
          <w:sz w:val="32"/>
          <w:szCs w:val="32"/>
        </w:rPr>
      </w:pPr>
      <w:r>
        <w:rPr>
          <w:rFonts w:hint="eastAsia" w:ascii="楷体_GB2312" w:hAnsi="仿宋" w:eastAsia="楷体_GB2312" w:cs="仿宋"/>
          <w:sz w:val="32"/>
          <w:szCs w:val="32"/>
        </w:rPr>
        <w:t>（三）严格建设标准。</w:t>
      </w:r>
      <w:r>
        <w:rPr>
          <w:rFonts w:hint="eastAsia" w:ascii="仿宋_GB2312" w:hAnsi="仿宋" w:eastAsia="仿宋_GB2312" w:cs="仿宋"/>
          <w:sz w:val="32"/>
          <w:szCs w:val="32"/>
        </w:rPr>
        <w:t>原则上，撤并建制村直连道路应达到通村硬化路标准，路面宽度不低于4.5米；乡村振兴产业路旅游路不低于四级双车道公路技术标准，交通量较大路段宜按三级公路标准建设。新改建公路应合力布设错车道、停车区、服务区等服务设施，完善沿线挡防、边沟、桥涵、安防、交通标志等附属设施。乡镇运输综合服务站应具备农村客运、快递收寄、电商交易、信息查询等功能；村级物流节点应具有固定场所，配备相应设施设备。</w:t>
      </w:r>
    </w:p>
    <w:p>
      <w:pPr>
        <w:spacing w:line="520" w:lineRule="exact"/>
        <w:ind w:firstLine="640" w:firstLineChars="200"/>
        <w:jc w:val="left"/>
        <w:rPr>
          <w:rFonts w:ascii="仿宋_GB2312" w:hAnsi="仿宋" w:eastAsia="仿宋_GB2312" w:cs="仿宋"/>
          <w:sz w:val="32"/>
          <w:szCs w:val="32"/>
        </w:rPr>
      </w:pPr>
      <w:r>
        <w:rPr>
          <w:rFonts w:hint="eastAsia" w:ascii="楷体_GB2312" w:hAnsi="仿宋" w:eastAsia="楷体_GB2312" w:cs="仿宋"/>
          <w:sz w:val="32"/>
          <w:szCs w:val="32"/>
        </w:rPr>
        <w:t>（四）强化建设管理。</w:t>
      </w:r>
      <w:r>
        <w:rPr>
          <w:rFonts w:hint="eastAsia" w:ascii="仿宋_GB2312" w:hAnsi="仿宋" w:eastAsia="仿宋_GB2312" w:cs="仿宋"/>
          <w:sz w:val="32"/>
          <w:szCs w:val="32"/>
        </w:rPr>
        <w:t>规范工作标准、优化管理流程，加快推动各项目工作落地见效。纳入撤并建制村畅通工程的农村公路要严格按照《广元市农村公路建设管理办法（试行）》相关要求组织实施。鼓励采用分县、分片多项目打捆的方式，选择有实力的队伍参与项目建设。要健全质量建管体系，全面推行农村公路建设“七公开”制度，确保工程质量安全受控。要按照集约化管理、公司化经营的方式，创新农村客运发展模式，提升覆盖范围和服务品质，充分发挥市场对资源的配置作用，统筹整合邮政、快递、电子商务、供销等资源，加快完善乡村三级农村物流运输体系。</w:t>
      </w:r>
    </w:p>
    <w:p>
      <w:pPr>
        <w:spacing w:line="520" w:lineRule="exact"/>
        <w:ind w:firstLine="640" w:firstLineChars="200"/>
        <w:jc w:val="left"/>
        <w:rPr>
          <w:rFonts w:ascii="仿宋_GB2312" w:hAnsi="仿宋" w:eastAsia="仿宋_GB2312" w:cs="仿宋"/>
          <w:sz w:val="32"/>
          <w:szCs w:val="32"/>
        </w:rPr>
      </w:pPr>
      <w:r>
        <w:rPr>
          <w:rFonts w:hint="eastAsia" w:ascii="楷体_GB2312" w:hAnsi="仿宋" w:eastAsia="楷体_GB2312" w:cs="仿宋"/>
          <w:sz w:val="32"/>
          <w:szCs w:val="32"/>
        </w:rPr>
        <w:t>（五）强化检查督导。</w:t>
      </w:r>
      <w:r>
        <w:rPr>
          <w:rFonts w:hint="eastAsia" w:ascii="仿宋_GB2312" w:hAnsi="仿宋" w:eastAsia="仿宋_GB2312" w:cs="仿宋"/>
          <w:sz w:val="32"/>
          <w:szCs w:val="32"/>
        </w:rPr>
        <w:t>各县区要将农村交通运输服务水平提升作为党委政府的重要督导工作内容，全程跟踪进展，定期督导协调，确保工作有序推进。市交通运输局要加强技术指导服务和行业监督，确保项目高质量推进，并采取局领导联系县区方式，加强督促指导。</w:t>
      </w:r>
    </w:p>
    <w:p>
      <w:pPr>
        <w:spacing w:line="520" w:lineRule="exact"/>
        <w:ind w:firstLine="640" w:firstLineChars="200"/>
        <w:rPr>
          <w:rFonts w:ascii="仿宋_GB2312" w:hAnsi="仿宋" w:eastAsia="仿宋_GB2312" w:cs="仿宋"/>
          <w:sz w:val="32"/>
          <w:szCs w:val="32"/>
        </w:rPr>
      </w:pPr>
    </w:p>
    <w:p>
      <w:pPr>
        <w:rPr>
          <w:rFonts w:hint="eastAsia"/>
          <w:lang w:val="en-US" w:eastAsia="zh-CN"/>
        </w:rPr>
      </w:pPr>
    </w:p>
    <w:sectPr>
      <w:headerReference r:id="rId3" w:type="default"/>
      <w:footerReference r:id="rId4" w:type="default"/>
      <w:pgSz w:w="11907" w:h="16840"/>
      <w:pgMar w:top="1701" w:right="1474" w:bottom="1134" w:left="1588" w:header="851" w:footer="1021" w:gutter="0"/>
      <w:cols w:space="720" w:num="1"/>
      <w:docGrid w:linePitch="63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60" w:right="230"/>
      <w:jc w:val="right"/>
      <w:rPr>
        <w:rFonts w:hint="eastAsia" w:ascii="宋体" w:eastAsia="宋体"/>
        <w:sz w:val="24"/>
      </w:rPr>
    </w:pPr>
    <w:r>
      <w:rPr>
        <w:rFonts w:hint="eastAsia" w:ascii="宋体" w:eastAsia="宋体"/>
        <w:kern w:val="0"/>
        <w:sz w:val="26"/>
        <w:szCs w:val="21"/>
      </w:rPr>
      <w:t xml:space="preserve">- </w:t>
    </w:r>
    <w:r>
      <w:rPr>
        <w:rFonts w:hint="eastAsia" w:ascii="宋体" w:eastAsia="宋体"/>
        <w:kern w:val="0"/>
        <w:sz w:val="26"/>
        <w:szCs w:val="21"/>
      </w:rPr>
      <w:fldChar w:fldCharType="begin"/>
    </w:r>
    <w:r>
      <w:rPr>
        <w:rFonts w:hint="eastAsia" w:ascii="宋体" w:eastAsia="宋体"/>
        <w:kern w:val="0"/>
        <w:sz w:val="26"/>
        <w:szCs w:val="21"/>
      </w:rPr>
      <w:instrText xml:space="preserve"> PAGE </w:instrText>
    </w:r>
    <w:r>
      <w:rPr>
        <w:rFonts w:hint="eastAsia" w:ascii="宋体" w:eastAsia="宋体"/>
        <w:kern w:val="0"/>
        <w:sz w:val="26"/>
        <w:szCs w:val="21"/>
      </w:rPr>
      <w:fldChar w:fldCharType="separate"/>
    </w:r>
    <w:r>
      <w:rPr>
        <w:rFonts w:ascii="宋体" w:eastAsia="宋体"/>
        <w:kern w:val="0"/>
        <w:sz w:val="26"/>
        <w:szCs w:val="21"/>
      </w:rPr>
      <w:t>5</w:t>
    </w:r>
    <w:r>
      <w:rPr>
        <w:rFonts w:hint="eastAsia" w:ascii="宋体" w:eastAsia="宋体"/>
        <w:kern w:val="0"/>
        <w:sz w:val="26"/>
        <w:szCs w:val="21"/>
      </w:rPr>
      <w:fldChar w:fldCharType="end"/>
    </w:r>
    <w:r>
      <w:rPr>
        <w:rFonts w:hint="eastAsia" w:ascii="宋体" w:eastAsia="宋体"/>
        <w:kern w:val="0"/>
        <w:sz w:val="26"/>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C7CC6"/>
    <w:rsid w:val="01330085"/>
    <w:rsid w:val="02987565"/>
    <w:rsid w:val="057623F0"/>
    <w:rsid w:val="085B23B5"/>
    <w:rsid w:val="09B12FAF"/>
    <w:rsid w:val="0D347E50"/>
    <w:rsid w:val="0E443D30"/>
    <w:rsid w:val="113374FC"/>
    <w:rsid w:val="152715F5"/>
    <w:rsid w:val="159158FC"/>
    <w:rsid w:val="1E444BE2"/>
    <w:rsid w:val="20D7093F"/>
    <w:rsid w:val="20E54226"/>
    <w:rsid w:val="23EB69C3"/>
    <w:rsid w:val="24DE0509"/>
    <w:rsid w:val="259F084C"/>
    <w:rsid w:val="25CA7A73"/>
    <w:rsid w:val="262F3AC4"/>
    <w:rsid w:val="26460A6F"/>
    <w:rsid w:val="26E6062C"/>
    <w:rsid w:val="27A85DBC"/>
    <w:rsid w:val="28013F6F"/>
    <w:rsid w:val="2883041D"/>
    <w:rsid w:val="2DCB75B6"/>
    <w:rsid w:val="2E781CA4"/>
    <w:rsid w:val="2F60532D"/>
    <w:rsid w:val="2F811A91"/>
    <w:rsid w:val="35244F9D"/>
    <w:rsid w:val="37CD08DC"/>
    <w:rsid w:val="37D2131D"/>
    <w:rsid w:val="3D0D4FA1"/>
    <w:rsid w:val="3DF01163"/>
    <w:rsid w:val="40301335"/>
    <w:rsid w:val="46884CE9"/>
    <w:rsid w:val="470916CE"/>
    <w:rsid w:val="4732631A"/>
    <w:rsid w:val="49427A86"/>
    <w:rsid w:val="4E930C86"/>
    <w:rsid w:val="51425DA3"/>
    <w:rsid w:val="527E43BA"/>
    <w:rsid w:val="53AA5CF3"/>
    <w:rsid w:val="55270415"/>
    <w:rsid w:val="559B7E12"/>
    <w:rsid w:val="56BD1031"/>
    <w:rsid w:val="58227AE4"/>
    <w:rsid w:val="584A6518"/>
    <w:rsid w:val="58D57D99"/>
    <w:rsid w:val="5A8244DF"/>
    <w:rsid w:val="5AE50F05"/>
    <w:rsid w:val="5C05660A"/>
    <w:rsid w:val="5CDD34AB"/>
    <w:rsid w:val="5EB155AC"/>
    <w:rsid w:val="5F861178"/>
    <w:rsid w:val="65877189"/>
    <w:rsid w:val="67F83CDB"/>
    <w:rsid w:val="6848477B"/>
    <w:rsid w:val="6BD73CDD"/>
    <w:rsid w:val="71FC60F9"/>
    <w:rsid w:val="73AE1FD5"/>
    <w:rsid w:val="74294F69"/>
    <w:rsid w:val="764D423E"/>
    <w:rsid w:val="7A861065"/>
    <w:rsid w:val="7DAD779F"/>
    <w:rsid w:val="7F335ED5"/>
    <w:rsid w:val="7FA3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8">
    <w:name w:val="font21"/>
    <w:basedOn w:val="6"/>
    <w:qFormat/>
    <w:uiPriority w:val="0"/>
    <w:rPr>
      <w:rFonts w:hint="default" w:ascii="Times New Roman" w:hAnsi="Times New Roman" w:cs="Times New Roman"/>
      <w:color w:val="000000"/>
      <w:sz w:val="24"/>
      <w:szCs w:val="24"/>
      <w:u w:val="none"/>
    </w:rPr>
  </w:style>
  <w:style w:type="character" w:customStyle="1" w:styleId="9">
    <w:name w:val="font41"/>
    <w:basedOn w:val="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2021-03-22T08:17:00Z</dcterms:created>
  <dc:creator>Administrator</dc:creator>
  <cp:lastModifiedBy>Administrator</cp:lastModifiedBy>
  <dcterms:modified xsi:type="dcterms:W3CDTF">2021-04-28T08:12:49Z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588ACF72C6E74BF2A28F29F3386D94C8</vt:lpwstr>
  </property>
</Properties>
</file>