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仿宋_GB2312" w:hAnsi="仿宋_GB2312" w:eastAsia="方正小标宋简体" w:cs="Times New Roman"/>
          <w:b w:val="0"/>
          <w:bCs w:val="0"/>
          <w:color w:val="000000" w:themeColor="text1"/>
          <w:sz w:val="44"/>
          <w:szCs w:val="44"/>
          <w14:textFill>
            <w14:solidFill>
              <w14:schemeClr w14:val="tx1"/>
            </w14:solidFill>
          </w14:textFill>
        </w:rPr>
      </w:pPr>
      <w:r>
        <w:rPr>
          <w:rFonts w:ascii="仿宋_GB2312" w:hAnsi="仿宋_GB2312" w:eastAsia="方正小标宋简体" w:cs="Times New Roman"/>
          <w:b w:val="0"/>
          <w:bCs w:val="0"/>
          <w:color w:val="000000" w:themeColor="text1"/>
          <w:sz w:val="44"/>
          <w:szCs w:val="44"/>
          <w14:textFill>
            <w14:solidFill>
              <w14:schemeClr w14:val="tx1"/>
            </w14:solidFill>
          </w14:textFill>
        </w:rPr>
        <w:t>养老育幼基本公共服务能力提升工作方案</w:t>
      </w:r>
    </w:p>
    <w:p>
      <w:pPr>
        <w:pStyle w:val="2"/>
        <w:jc w:val="center"/>
        <w:rPr>
          <w:rFonts w:hint="eastAsia" w:ascii="仿宋_GB2312" w:hAnsi="仿宋_GB2312" w:eastAsia="仿宋_GB2312" w:cs="Times New Roman"/>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bookmarkStart w:id="0" w:name="_GoBack"/>
      <w:r>
        <w:rPr>
          <w:rFonts w:hint="eastAsia" w:ascii="楷体_GB2312" w:hAnsi="楷体_GB2312" w:eastAsia="楷体_GB2312" w:cs="楷体_GB2312"/>
          <w:b/>
          <w:bCs/>
          <w:color w:val="000000" w:themeColor="text1"/>
          <w:sz w:val="32"/>
          <w:szCs w:val="32"/>
          <w:lang w:eastAsia="zh-CN"/>
          <w14:textFill>
            <w14:solidFill>
              <w14:schemeClr w14:val="tx1"/>
            </w14:solidFill>
          </w14:textFill>
        </w:rPr>
        <w:t>征求</w:t>
      </w:r>
      <w:bookmarkEnd w:id="0"/>
      <w:r>
        <w:rPr>
          <w:rFonts w:hint="eastAsia" w:ascii="楷体_GB2312" w:hAnsi="楷体_GB2312" w:eastAsia="楷体_GB2312" w:cs="楷体_GB2312"/>
          <w:b/>
          <w:bCs/>
          <w:color w:val="000000" w:themeColor="text1"/>
          <w:sz w:val="32"/>
          <w:szCs w:val="32"/>
          <w:lang w:eastAsia="zh-CN"/>
          <w14:textFill>
            <w14:solidFill>
              <w14:schemeClr w14:val="tx1"/>
            </w14:solidFill>
          </w14:textFill>
        </w:rPr>
        <w:t>意见稿）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hint="eastAsia" w:ascii="仿宋_GB2312" w:hAnsi="仿宋_GB2312" w:eastAsia="仿宋_GB2312" w:cs="仿宋"/>
          <w:b w:val="0"/>
          <w:bCs w:val="0"/>
          <w:color w:val="000000" w:themeColor="text1"/>
          <w:sz w:val="32"/>
          <w:szCs w:val="32"/>
          <w14:textFill>
            <w14:solidFill>
              <w14:schemeClr w14:val="tx1"/>
            </w14:solidFill>
          </w14:textFill>
        </w:rPr>
        <w:t>按照</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省委</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、市委</w:t>
      </w:r>
      <w:r>
        <w:rPr>
          <w:rFonts w:hint="eastAsia" w:ascii="仿宋_GB2312" w:hAnsi="仿宋_GB2312" w:eastAsia="仿宋_GB2312" w:cs="仿宋"/>
          <w:b w:val="0"/>
          <w:bCs w:val="0"/>
          <w:color w:val="000000" w:themeColor="text1"/>
          <w:sz w:val="32"/>
          <w:szCs w:val="32"/>
          <w14:textFill>
            <w14:solidFill>
              <w14:schemeClr w14:val="tx1"/>
            </w14:solidFill>
          </w14:textFill>
        </w:rPr>
        <w:t>关于做好两项改革“后半篇”文章部署要求，为进一步提升养老育幼基本公共服务能力，现制定如下工作方案。</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黑体" w:cs="Times New Roman"/>
          <w:b/>
          <w:bCs/>
          <w:color w:val="000000" w:themeColor="text1"/>
          <w:sz w:val="32"/>
          <w:szCs w:val="32"/>
          <w14:textFill>
            <w14:solidFill>
              <w14:schemeClr w14:val="tx1"/>
            </w14:solidFill>
          </w14:textFill>
        </w:rPr>
      </w:pPr>
      <w:r>
        <w:rPr>
          <w:rFonts w:ascii="仿宋_GB2312" w:hAnsi="仿宋_GB2312" w:eastAsia="黑体" w:cs="Times New Roman"/>
          <w:b/>
          <w:bCs/>
          <w:color w:val="000000" w:themeColor="text1"/>
          <w:sz w:val="32"/>
          <w:szCs w:val="32"/>
          <w14:textFill>
            <w14:solidFill>
              <w14:schemeClr w14:val="tx1"/>
            </w14:solidFill>
          </w14:textFill>
        </w:rPr>
        <w:t>一、总体目标</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hint="eastAsia" w:ascii="仿宋_GB2312" w:hAnsi="仿宋_GB2312" w:eastAsia="仿宋_GB2312" w:cs="仿宋"/>
          <w:b w:val="0"/>
          <w:bCs w:val="0"/>
          <w:color w:val="000000" w:themeColor="text1"/>
          <w:sz w:val="32"/>
          <w:szCs w:val="32"/>
          <w14:textFill>
            <w14:solidFill>
              <w14:schemeClr w14:val="tx1"/>
            </w14:solidFill>
          </w14:textFill>
        </w:rPr>
        <w:t>坚持以习近平新时代中国特色社会主义思想为指导，认真贯彻落实省委十一届六次、七次、八次</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和市委七届十一次、十二次、十三次</w:t>
      </w:r>
      <w:r>
        <w:rPr>
          <w:rFonts w:hint="eastAsia" w:ascii="仿宋_GB2312" w:hAnsi="仿宋_GB2312" w:eastAsia="仿宋_GB2312" w:cs="仿宋"/>
          <w:b w:val="0"/>
          <w:bCs w:val="0"/>
          <w:color w:val="000000" w:themeColor="text1"/>
          <w:sz w:val="32"/>
          <w:szCs w:val="32"/>
          <w14:textFill>
            <w14:solidFill>
              <w14:schemeClr w14:val="tx1"/>
            </w14:solidFill>
          </w14:textFill>
        </w:rPr>
        <w:t>全会部署，聚焦</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“一老一小”重点</w:t>
      </w:r>
      <w:r>
        <w:rPr>
          <w:rFonts w:hint="eastAsia" w:ascii="仿宋_GB2312" w:hAnsi="仿宋_GB2312" w:eastAsia="仿宋_GB2312" w:cs="仿宋"/>
          <w:b w:val="0"/>
          <w:bCs w:val="0"/>
          <w:color w:val="000000" w:themeColor="text1"/>
          <w:sz w:val="32"/>
          <w:szCs w:val="32"/>
          <w14:textFill>
            <w14:solidFill>
              <w14:schemeClr w14:val="tx1"/>
            </w14:solidFill>
          </w14:textFill>
        </w:rPr>
        <w:t>领域</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14:textFill>
            <w14:solidFill>
              <w14:schemeClr w14:val="tx1"/>
            </w14:solidFill>
          </w14:textFill>
        </w:rPr>
        <w:t>按照“统筹规划、优化布局、提升功能”的原则，总体规划，分步实施，健全与乡镇行政区划和村级建制调整相协调、与经济社会发展相适应的养老育幼基本公共服务体系。</w:t>
      </w:r>
      <w:r>
        <w:rPr>
          <w:rFonts w:hint="eastAsia" w:ascii="仿宋_GB2312" w:hAnsi="仿宋_GB2312" w:eastAsia="仿宋_GB2312" w:cs="仿宋"/>
          <w:b w:val="0"/>
          <w:bCs w:val="0"/>
          <w:color w:val="000000"/>
          <w:kern w:val="0"/>
          <w:sz w:val="32"/>
          <w:szCs w:val="32"/>
          <w:u w:val="single"/>
          <w:lang w:eastAsia="zh-CN"/>
        </w:rPr>
        <w:t>到</w:t>
      </w:r>
      <w:r>
        <w:rPr>
          <w:rFonts w:hint="eastAsia" w:ascii="仿宋_GB2312" w:hAnsi="仿宋_GB2312" w:eastAsia="仿宋_GB2312" w:cs="仿宋"/>
          <w:b w:val="0"/>
          <w:bCs w:val="0"/>
          <w:color w:val="000000"/>
          <w:kern w:val="0"/>
          <w:sz w:val="32"/>
          <w:szCs w:val="32"/>
          <w:u w:val="single"/>
          <w:lang w:val="en-US" w:eastAsia="zh-CN"/>
        </w:rPr>
        <w:t>2021年，</w:t>
      </w:r>
      <w:r>
        <w:rPr>
          <w:rFonts w:hint="eastAsia" w:ascii="仿宋_GB2312" w:hAnsi="仿宋_GB2312" w:eastAsia="仿宋_GB2312" w:cs="仿宋"/>
          <w:b w:val="0"/>
          <w:bCs w:val="0"/>
          <w:color w:val="000000" w:themeColor="text1"/>
          <w:sz w:val="32"/>
          <w:szCs w:val="32"/>
          <w:u w:val="single"/>
          <w:shd w:val="clear" w:fill="FFFFFF" w:themeFill="background1"/>
          <w14:textFill>
            <w14:solidFill>
              <w14:schemeClr w14:val="tx1"/>
            </w14:solidFill>
          </w14:textFill>
        </w:rPr>
        <w:t>全</w:t>
      </w:r>
      <w:r>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t>市建成</w:t>
      </w:r>
      <w:r>
        <w:rPr>
          <w:rFonts w:hint="eastAsia" w:ascii="仿宋_GB2312" w:hAnsi="仿宋_GB2312" w:eastAsia="仿宋_GB2312" w:cs="仿宋"/>
          <w:b w:val="0"/>
          <w:bCs w:val="0"/>
          <w:color w:val="000000" w:themeColor="text1"/>
          <w:sz w:val="32"/>
          <w:szCs w:val="32"/>
          <w:u w:val="single"/>
          <w:shd w:val="clear" w:fill="FFFFFF" w:themeFill="background1"/>
          <w:lang w:val="en-US" w:eastAsia="zh-CN"/>
          <w14:textFill>
            <w14:solidFill>
              <w14:schemeClr w14:val="tx1"/>
            </w14:solidFill>
          </w14:textFill>
        </w:rPr>
        <w:t>5个</w:t>
      </w:r>
      <w:r>
        <w:rPr>
          <w:rFonts w:hint="eastAsia" w:ascii="仿宋_GB2312" w:hAnsi="仿宋_GB2312" w:eastAsia="仿宋_GB2312" w:cs="仿宋"/>
          <w:b w:val="0"/>
          <w:bCs w:val="0"/>
          <w:color w:val="000000" w:themeColor="text1"/>
          <w:sz w:val="32"/>
          <w:szCs w:val="32"/>
          <w:u w:val="single"/>
          <w:shd w:val="clear" w:fill="FFFFFF" w:themeFill="background1"/>
          <w14:textFill>
            <w14:solidFill>
              <w14:schemeClr w14:val="tx1"/>
            </w14:solidFill>
          </w14:textFill>
        </w:rPr>
        <w:t>社区养老服务综合体，</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社区日间照料机构覆盖率达到</w:t>
      </w:r>
      <w:r>
        <w:rPr>
          <w:rFonts w:hint="eastAsia" w:ascii="仿宋_GB2312" w:hAnsi="仿宋_GB2312" w:eastAsia="仿宋_GB2312" w:cs="仿宋"/>
          <w:b w:val="0"/>
          <w:bCs w:val="0"/>
          <w:color w:val="000000" w:themeColor="text1"/>
          <w:sz w:val="32"/>
          <w:szCs w:val="32"/>
          <w:shd w:val="clear" w:fill="FFFFFF" w:themeFill="background1"/>
          <w:lang w:val="en-US" w:eastAsia="zh-CN"/>
          <w14:textFill>
            <w14:solidFill>
              <w14:schemeClr w14:val="tx1"/>
            </w14:solidFill>
          </w14:textFill>
        </w:rPr>
        <w:t>8</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0%以上；</w:t>
      </w:r>
      <w:r>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t>将</w:t>
      </w:r>
      <w:r>
        <w:rPr>
          <w:rFonts w:hint="eastAsia" w:ascii="仿宋_GB2312" w:hAnsi="仿宋_GB2312" w:eastAsia="仿宋_GB2312" w:cs="仿宋"/>
          <w:b w:val="0"/>
          <w:bCs w:val="0"/>
          <w:color w:val="000000" w:themeColor="text1"/>
          <w:sz w:val="32"/>
          <w:szCs w:val="32"/>
          <w:u w:val="single"/>
          <w:shd w:val="clear" w:fill="FFFFFF" w:themeFill="background1"/>
          <w:lang w:val="en-US" w:eastAsia="zh-CN"/>
          <w14:textFill>
            <w14:solidFill>
              <w14:schemeClr w14:val="tx1"/>
            </w14:solidFill>
          </w14:textFill>
        </w:rPr>
        <w:t>有条件的乡镇敬老院转型为区域性养老服务中心</w:t>
      </w:r>
      <w:r>
        <w:rPr>
          <w:rFonts w:hint="eastAsia" w:ascii="仿宋_GB2312" w:hAnsi="仿宋_GB2312" w:eastAsia="仿宋_GB2312" w:cs="仿宋"/>
          <w:b w:val="0"/>
          <w:bCs w:val="0"/>
          <w:color w:val="000000" w:themeColor="text1"/>
          <w:sz w:val="32"/>
          <w:szCs w:val="32"/>
          <w:shd w:val="clear" w:fill="FFFFFF" w:themeFill="background1"/>
          <w:lang w:val="en-US"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以</w:t>
      </w:r>
      <w:r>
        <w:rPr>
          <w:rFonts w:hint="eastAsia" w:ascii="仿宋_GB2312" w:hAnsi="仿宋_GB2312" w:eastAsia="仿宋_GB2312" w:cs="仿宋"/>
          <w:b w:val="0"/>
          <w:bCs w:val="0"/>
          <w:color w:val="000000" w:themeColor="text1"/>
          <w:sz w:val="32"/>
          <w:szCs w:val="32"/>
          <w:shd w:val="clear" w:fill="FFFFFF" w:themeFill="background1"/>
          <w:lang w:eastAsia="zh-CN"/>
          <w14:textFill>
            <w14:solidFill>
              <w14:schemeClr w14:val="tx1"/>
            </w14:solidFill>
          </w14:textFill>
        </w:rPr>
        <w:t>示范性农村</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区域养老服务中心为枢纽的农村养老服务网络基本建成，涉改乡镇敬老院护理型床位占比</w:t>
      </w:r>
      <w:r>
        <w:rPr>
          <w:rFonts w:hint="eastAsia" w:ascii="仿宋_GB2312" w:hAnsi="仿宋_GB2312" w:eastAsia="仿宋_GB2312" w:cs="仿宋"/>
          <w:b w:val="0"/>
          <w:bCs w:val="0"/>
          <w:color w:val="000000" w:themeColor="text1"/>
          <w:sz w:val="32"/>
          <w:szCs w:val="32"/>
          <w:shd w:val="clear" w:fill="FFFFFF" w:themeFill="background1"/>
          <w:lang w:eastAsia="zh-CN"/>
          <w14:textFill>
            <w14:solidFill>
              <w14:schemeClr w14:val="tx1"/>
            </w14:solidFill>
          </w14:textFill>
        </w:rPr>
        <w:t>高于</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30%；</w:t>
      </w:r>
      <w:r>
        <w:rPr>
          <w:rFonts w:hint="eastAsia" w:ascii="仿宋_GB2312" w:hAnsi="仿宋_GB2312" w:eastAsia="仿宋_GB2312" w:cs="仿宋"/>
          <w:b w:val="0"/>
          <w:bCs w:val="0"/>
          <w:color w:val="000000" w:themeColor="text1"/>
          <w:sz w:val="32"/>
          <w:szCs w:val="32"/>
          <w14:textFill>
            <w14:solidFill>
              <w14:schemeClr w14:val="tx1"/>
            </w14:solidFill>
          </w14:textFill>
        </w:rPr>
        <w:t>涉改乡镇（街道）、村（社区）儿童之家示范点基本建成，儿童综合服务和区域覆盖能力大幅提升</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14:textFill>
            <w14:solidFill>
              <w14:schemeClr w14:val="tx1"/>
            </w14:solidFill>
          </w14:textFill>
        </w:rPr>
        <w:t>涉改乡镇（街道）、村（社区）志愿者服务队伍覆盖率达到100%</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通过政策引导</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、资金</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投入</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、试点示范</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、改革创新</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等举措，切实满足</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群众</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多层次多样化</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的</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养老育幼基本公共服务需求。</w:t>
      </w:r>
      <w:r>
        <w:rPr>
          <w:rFonts w:hint="eastAsia" w:ascii="仿宋_GB2312" w:hAnsi="仿宋_GB2312" w:eastAsia="仿宋_GB2312" w:cs="仿宋"/>
          <w:b w:val="0"/>
          <w:bCs w:val="0"/>
          <w:color w:val="000000" w:themeColor="text1"/>
          <w:sz w:val="32"/>
          <w:szCs w:val="32"/>
          <w14:textFill>
            <w14:solidFill>
              <w14:schemeClr w14:val="tx1"/>
            </w14:solidFill>
          </w14:textFill>
        </w:rPr>
        <w:t>到“十四五”末，覆盖城乡、适应社会发展、满足服务对象需求的养老、育幼基本公共服务体系更加完善，“一老一小”服务对象及其家属获得感、幸福感、安全感显著提高。</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黑体" w:cs="Times New Roman"/>
          <w:b/>
          <w:bCs/>
          <w:color w:val="000000" w:themeColor="text1"/>
          <w:sz w:val="32"/>
          <w:szCs w:val="32"/>
          <w14:textFill>
            <w14:solidFill>
              <w14:schemeClr w14:val="tx1"/>
            </w14:solidFill>
          </w14:textFill>
        </w:rPr>
      </w:pPr>
      <w:r>
        <w:rPr>
          <w:rFonts w:ascii="仿宋_GB2312" w:hAnsi="仿宋_GB2312" w:eastAsia="黑体" w:cs="Times New Roman"/>
          <w:b/>
          <w:bCs/>
          <w:color w:val="000000" w:themeColor="text1"/>
          <w:sz w:val="32"/>
          <w:szCs w:val="32"/>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hint="eastAsia" w:ascii="仿宋_GB2312" w:hAnsi="仿宋_GB2312" w:eastAsia="仿宋_GB2312" w:cs="仿宋"/>
          <w:b w:val="0"/>
          <w:bCs w:val="0"/>
          <w:color w:val="000000" w:themeColor="text1"/>
          <w:sz w:val="32"/>
          <w:szCs w:val="32"/>
          <w14:textFill>
            <w14:solidFill>
              <w14:schemeClr w14:val="tx1"/>
            </w14:solidFill>
          </w14:textFill>
        </w:rPr>
        <w:t>按照“分层次、分类型、分标准”的原则，围绕改革后老百姓的急难愁盼，重点在涉改乡镇（街道）、村（社区）“片区化”“集约化”整合各类服务资源，优化机构配置，提升服务质量和服务能力，建立完善养老育幼基层服务保障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楷体_GB2312" w:cs="Times New Roman"/>
          <w:b/>
          <w:bCs/>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（一）健全养老服务网络</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pPr>
      <w:r>
        <w:rPr>
          <w:rFonts w:ascii="仿宋_GB2312" w:hAnsi="仿宋_GB2312" w:eastAsia="仿宋_GB2312" w:cs="Times New Roman"/>
          <w:b/>
          <w:bCs/>
          <w:color w:val="000000" w:themeColor="text1"/>
          <w:sz w:val="32"/>
          <w:szCs w:val="32"/>
          <w14:textFill>
            <w14:solidFill>
              <w14:schemeClr w14:val="tx1"/>
            </w14:solidFill>
          </w14:textFill>
        </w:rPr>
        <w:t>优化养老服务设施布局。</w:t>
      </w:r>
      <w:r>
        <w:rPr>
          <w:rFonts w:hint="eastAsia" w:ascii="仿宋_GB2312" w:hAnsi="仿宋_GB2312" w:eastAsia="仿宋_GB2312" w:cs="仿宋"/>
          <w:b w:val="0"/>
          <w:bCs w:val="0"/>
          <w:color w:val="000000" w:themeColor="text1"/>
          <w:sz w:val="32"/>
          <w:szCs w:val="32"/>
          <w:u w:val="single"/>
          <w:shd w:val="clear" w:fill="FFFFFF" w:themeFill="background1"/>
          <w:lang w:val="en-US" w:eastAsia="zh-CN"/>
          <w14:textFill>
            <w14:solidFill>
              <w14:schemeClr w14:val="tx1"/>
            </w14:solidFill>
          </w14:textFill>
        </w:rPr>
        <w:t>着力</w:t>
      </w:r>
      <w:r>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t>养老“五个一批”建设，</w:t>
      </w:r>
      <w:r>
        <w:rPr>
          <w:rFonts w:hint="eastAsia" w:ascii="仿宋_GB2312" w:hAnsi="仿宋_GB2312" w:eastAsia="仿宋_GB2312" w:cs="仿宋"/>
          <w:b w:val="0"/>
          <w:bCs w:val="0"/>
          <w:color w:val="000000"/>
          <w:kern w:val="0"/>
          <w:sz w:val="32"/>
          <w:szCs w:val="32"/>
          <w:u w:val="single"/>
          <w:lang w:eastAsia="zh-CN"/>
        </w:rPr>
        <w:t>规划建设一批以照护为主的县级特困人员供养服务中心，每个县区必须有一所；整合建设一批示范性农村区域养老服务中心，</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以剑阁已建成的7所区域性养老服务中心为示范，推动全市有条件的乡镇敬老院转型为区域性养老服务中心；</w:t>
      </w:r>
      <w:r>
        <w:rPr>
          <w:rFonts w:hint="eastAsia" w:ascii="仿宋_GB2312" w:hAnsi="仿宋_GB2312" w:eastAsia="仿宋_GB2312" w:cs="仿宋"/>
          <w:b w:val="0"/>
          <w:bCs w:val="0"/>
          <w:color w:val="000000"/>
          <w:kern w:val="0"/>
          <w:sz w:val="32"/>
          <w:szCs w:val="32"/>
          <w:u w:val="single"/>
          <w:lang w:eastAsia="zh-CN"/>
        </w:rPr>
        <w:t>启动建设一批社区养老服务综合体，积极发展社区养老服务；结合建设一批医疗卫生机构与养老机构组建的医疗养老联合体，</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支持开展医养结合，在规划建设养老机构时，将机构与医疗卫生设施同址或邻近设置，支持乡镇卫生院和养老院“两院一体”发展；</w:t>
      </w:r>
      <w:r>
        <w:rPr>
          <w:rFonts w:hint="eastAsia" w:ascii="仿宋_GB2312" w:hAnsi="仿宋_GB2312" w:eastAsia="仿宋_GB2312" w:cs="仿宋"/>
          <w:b w:val="0"/>
          <w:bCs w:val="0"/>
          <w:color w:val="000000"/>
          <w:kern w:val="0"/>
          <w:sz w:val="32"/>
          <w:szCs w:val="32"/>
          <w:u w:val="single"/>
          <w:lang w:eastAsia="zh-CN"/>
        </w:rPr>
        <w:t>盘活建设一批老年人日间照料中心，</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将两项改革后闲置的政府办公场所、村（社区）阵地等资源，改造成日间照料中心。</w:t>
      </w:r>
      <w:r>
        <w:rPr>
          <w:rFonts w:hint="eastAsia" w:ascii="仿宋_GB2312" w:hAnsi="仿宋_GB2312" w:eastAsia="仿宋_GB2312" w:cs="仿宋"/>
          <w:b w:val="0"/>
          <w:bCs w:val="0"/>
          <w:color w:val="000000" w:themeColor="text1"/>
          <w:sz w:val="32"/>
          <w:szCs w:val="32"/>
          <w:shd w:val="clear" w:fill="FFFFFF" w:themeFill="background1"/>
          <w14:textFill>
            <w14:solidFill>
              <w14:schemeClr w14:val="tx1"/>
            </w14:solidFill>
          </w14:textFill>
        </w:rPr>
        <w:t>2021年底前，</w:t>
      </w:r>
      <w:r>
        <w:rPr>
          <w:rFonts w:hint="eastAsia" w:ascii="仿宋_GB2312" w:hAnsi="仿宋_GB2312" w:eastAsia="仿宋_GB2312" w:cs="仿宋"/>
          <w:b w:val="0"/>
          <w:bCs w:val="0"/>
          <w:color w:val="000000" w:themeColor="text1"/>
          <w:sz w:val="32"/>
          <w:szCs w:val="32"/>
          <w:shd w:val="clear" w:fill="FFFFFF" w:themeFill="background1"/>
          <w:lang w:eastAsia="zh-CN"/>
          <w14:textFill>
            <w14:solidFill>
              <w14:schemeClr w14:val="tx1"/>
            </w14:solidFill>
          </w14:textFill>
        </w:rPr>
        <w:t>建设示范性农村区域养老服务中心</w:t>
      </w:r>
      <w:r>
        <w:rPr>
          <w:rFonts w:hint="eastAsia" w:ascii="仿宋_GB2312" w:hAnsi="仿宋_GB2312" w:eastAsia="仿宋_GB2312" w:cs="仿宋"/>
          <w:b w:val="0"/>
          <w:bCs w:val="0"/>
          <w:color w:val="000000" w:themeColor="text1"/>
          <w:sz w:val="32"/>
          <w:szCs w:val="32"/>
          <w:u w:val="single"/>
          <w:shd w:val="clear" w:fill="FFFFFF" w:themeFill="background1"/>
          <w:lang w:val="en-US" w:eastAsia="zh-CN"/>
          <w14:textFill>
            <w14:solidFill>
              <w14:schemeClr w14:val="tx1"/>
            </w14:solidFill>
          </w14:textFill>
        </w:rPr>
        <w:t>10个</w:t>
      </w:r>
      <w:r>
        <w:rPr>
          <w:rFonts w:hint="eastAsia" w:ascii="仿宋_GB2312" w:hAnsi="仿宋_GB2312" w:eastAsia="仿宋_GB2312" w:cs="仿宋"/>
          <w:b w:val="0"/>
          <w:bCs w:val="0"/>
          <w:color w:val="000000" w:themeColor="text1"/>
          <w:sz w:val="32"/>
          <w:szCs w:val="32"/>
          <w:shd w:val="clear" w:fill="FFFFFF" w:themeFill="background1"/>
          <w:lang w:val="en-US"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t>建</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成5个社区养老服务综合体、开工新建</w:t>
      </w:r>
      <w:r>
        <w:rPr>
          <w:rFonts w:hint="eastAsia" w:ascii="仿宋_GB2312" w:hAnsi="仿宋_GB2312" w:eastAsia="仿宋_GB2312" w:cs="仿宋"/>
          <w:b w:val="0"/>
          <w:bCs w:val="0"/>
          <w:color w:val="000000" w:themeColor="text1"/>
          <w:sz w:val="32"/>
          <w:szCs w:val="32"/>
          <w:u w:val="single"/>
          <w:shd w:val="clear" w:fill="FFFFFF" w:themeFill="background1"/>
          <w14:textFill>
            <w14:solidFill>
              <w14:schemeClr w14:val="tx1"/>
            </w14:solidFill>
          </w14:textFill>
        </w:rPr>
        <w:t>照护楼1个</w:t>
      </w:r>
      <w:r>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t>和</w:t>
      </w:r>
      <w:r>
        <w:rPr>
          <w:rFonts w:hint="eastAsia" w:ascii="仿宋_GB2312" w:hAnsi="仿宋_GB2312" w:eastAsia="仿宋_GB2312" w:cs="仿宋"/>
          <w:b w:val="0"/>
          <w:bCs w:val="0"/>
          <w:color w:val="000000" w:themeColor="text1"/>
          <w:sz w:val="32"/>
          <w:szCs w:val="32"/>
          <w:u w:val="single"/>
          <w:shd w:val="clear" w:fill="FFFFFF" w:themeFill="background1"/>
          <w14:textFill>
            <w14:solidFill>
              <w14:schemeClr w14:val="tx1"/>
            </w14:solidFill>
          </w14:textFill>
        </w:rPr>
        <w:t>日间照料中心2个</w:t>
      </w:r>
      <w:r>
        <w:rPr>
          <w:rFonts w:hint="eastAsia" w:ascii="仿宋_GB2312" w:hAnsi="仿宋_GB2312" w:eastAsia="仿宋_GB2312" w:cs="仿宋"/>
          <w:b w:val="0"/>
          <w:bCs w:val="0"/>
          <w:color w:val="000000" w:themeColor="text1"/>
          <w:sz w:val="32"/>
          <w:szCs w:val="32"/>
          <w:u w:val="single"/>
          <w:shd w:val="clear" w:fill="FFFFFF" w:themeFill="background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pPr>
      <w:r>
        <w:rPr>
          <w:rFonts w:ascii="仿宋_GB2312" w:hAnsi="仿宋_GB2312" w:eastAsia="仿宋_GB2312" w:cs="Times New Roman"/>
          <w:b/>
          <w:bCs/>
          <w:color w:val="000000" w:themeColor="text1"/>
          <w:sz w:val="32"/>
          <w:szCs w:val="32"/>
          <w14:textFill>
            <w14:solidFill>
              <w14:schemeClr w14:val="tx1"/>
            </w14:solidFill>
          </w14:textFill>
        </w:rPr>
        <w:t>提升农村敬老院照护能力。</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研究制定提高集中供养特困人员补贴标准，逐步提高养老机构入住率。各敬老院和医疗卫生机构要开通双向转介绿色通道，签订医疗转诊协议，为敬老院提供健康体检、消杀活动、巡诊排查、建立健康档案等医疗服务。对5个乡镇农村敬老院进行适老化改造，</w:t>
      </w:r>
      <w:r>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t>涉改乡镇敬老院护理型床位占比不低于30%。</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ascii="仿宋_GB2312" w:hAnsi="仿宋_GB2312" w:eastAsia="仿宋_GB2312" w:cs="Times New Roman"/>
          <w:b/>
          <w:bCs/>
          <w:color w:val="000000" w:themeColor="text1"/>
          <w:sz w:val="32"/>
          <w:szCs w:val="32"/>
          <w14:textFill>
            <w14:solidFill>
              <w14:schemeClr w14:val="tx1"/>
            </w14:solidFill>
          </w14:textFill>
        </w:rPr>
        <w:t>理顺农村敬老院管理体制。</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立足改革后乡村规划布局，完善农村养老服务地图，实现养老服务中心乡镇全覆盖。</w:t>
      </w:r>
      <w:r>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t>将区域性养老服务中心和有条件的乡镇敬老院收归县级直管，落实农村敬老院法人登记。2021年底前，</w:t>
      </w:r>
      <w:r>
        <w:rPr>
          <w:rFonts w:hint="eastAsia" w:ascii="仿宋_GB2312" w:hAnsi="仿宋_GB2312" w:eastAsia="仿宋_GB2312" w:cs="仿宋"/>
          <w:b w:val="0"/>
          <w:bCs w:val="0"/>
          <w:color w:val="000000" w:themeColor="text1"/>
          <w:sz w:val="32"/>
          <w:szCs w:val="32"/>
          <w:u w:val="none"/>
          <w:lang w:eastAsia="zh-CN"/>
          <w14:textFill>
            <w14:solidFill>
              <w14:schemeClr w14:val="tx1"/>
            </w14:solidFill>
          </w14:textFill>
        </w:rPr>
        <w:t>所有</w:t>
      </w:r>
      <w:r>
        <w:rPr>
          <w:rFonts w:hint="eastAsia" w:ascii="仿宋_GB2312" w:hAnsi="仿宋_GB2312" w:eastAsia="仿宋_GB2312" w:cs="仿宋"/>
          <w:b w:val="0"/>
          <w:bCs w:val="0"/>
          <w:color w:val="000000" w:themeColor="text1"/>
          <w:sz w:val="32"/>
          <w:szCs w:val="32"/>
          <w14:textFill>
            <w14:solidFill>
              <w14:schemeClr w14:val="tx1"/>
            </w14:solidFill>
          </w14:textFill>
        </w:rPr>
        <w:t>农村公办养老机构法人登记率达到100%</w:t>
      </w:r>
      <w:r>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sz w:val="32"/>
          <w:szCs w:val="32"/>
        </w:rPr>
      </w:pPr>
      <w:r>
        <w:rPr>
          <w:rFonts w:ascii="仿宋_GB2312" w:hAnsi="仿宋_GB2312" w:eastAsia="仿宋_GB2312" w:cs="Times New Roman"/>
          <w:b/>
          <w:bCs/>
          <w:color w:val="000000" w:themeColor="text1"/>
          <w:sz w:val="32"/>
          <w:szCs w:val="32"/>
          <w14:textFill>
            <w14:solidFill>
              <w14:schemeClr w14:val="tx1"/>
            </w14:solidFill>
          </w14:textFill>
        </w:rPr>
        <w:t>稳步推进养老服务改革。</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加快推进公办养老机构改革，</w:t>
      </w:r>
      <w:r>
        <w:rPr>
          <w:rFonts w:hint="eastAsia" w:ascii="仿宋_GB2312" w:hAnsi="仿宋_GB2312" w:eastAsia="仿宋_GB2312" w:cs="仿宋"/>
          <w:b w:val="0"/>
          <w:bCs w:val="0"/>
          <w:color w:val="000000" w:themeColor="text1"/>
          <w:sz w:val="32"/>
          <w:szCs w:val="32"/>
          <w14:textFill>
            <w14:solidFill>
              <w14:schemeClr w14:val="tx1"/>
            </w14:solidFill>
          </w14:textFill>
        </w:rPr>
        <w:t>鼓励采用公建民营、民办公助等模式，引导社会力量参与乡镇普惠性功能型养老服务机构建设，支持社会力量举办非营利性医养结合机构。</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具备法人资格的医疗机构可通过变更登记事项或经营范围开展养老服务</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，鼓励各级医疗卫生机构与养老机构组建医疗养老联合体。健全农村留守老年人巡访与关爱服务制度，组织社会组织和志愿服务队</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为老年人提供</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关爱服务，以定期电话沟通、上门探访、小组交流等形式，为有需求的特困老年人提供生活照料、日常巡查、生病探访等服务。</w:t>
      </w:r>
      <w:r>
        <w:rPr>
          <w:rFonts w:hint="eastAsia" w:ascii="仿宋_GB2312" w:hAnsi="仿宋_GB2312" w:eastAsia="仿宋_GB2312" w:cs="仿宋"/>
          <w:b w:val="0"/>
          <w:bCs w:val="0"/>
          <w:color w:val="000000" w:themeColor="text1"/>
          <w:sz w:val="32"/>
          <w:szCs w:val="32"/>
          <w14:textFill>
            <w14:solidFill>
              <w14:schemeClr w14:val="tx1"/>
            </w14:solidFill>
          </w14:textFill>
        </w:rPr>
        <w:t>2021年底前，涉改乡镇（街道）养老机构社会化运营的床位不低于50%。</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楷体_GB2312" w:cs="Times New Roman"/>
          <w:b/>
          <w:bCs/>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（二）完善儿童服务体系</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pPr>
      <w:r>
        <w:rPr>
          <w:rFonts w:ascii="仿宋_GB2312" w:hAnsi="仿宋_GB2312" w:eastAsia="仿宋_GB2312" w:cs="Times New Roman"/>
          <w:b/>
          <w:bCs/>
          <w:color w:val="000000" w:themeColor="text1"/>
          <w:sz w:val="32"/>
          <w:szCs w:val="32"/>
          <w14:textFill>
            <w14:solidFill>
              <w14:schemeClr w14:val="tx1"/>
            </w14:solidFill>
          </w14:textFill>
        </w:rPr>
        <w:t>打造“一站一家一点”工作阵地。</w:t>
      </w:r>
      <w:r>
        <w:rPr>
          <w:rFonts w:hint="eastAsia" w:ascii="仿宋_GB2312" w:hAnsi="仿宋_GB2312" w:eastAsia="仿宋_GB2312" w:cs="仿宋"/>
          <w:b w:val="0"/>
          <w:bCs w:val="0"/>
          <w:color w:val="000000" w:themeColor="text1"/>
          <w:sz w:val="32"/>
          <w:szCs w:val="32"/>
          <w14:textFill>
            <w14:solidFill>
              <w14:schemeClr w14:val="tx1"/>
            </w14:solidFill>
          </w14:textFill>
        </w:rPr>
        <w:t>充分利用两项改革后闲置公共服务设施，在乡镇（街道）设立未成年人保护工作站，在村（社区）设立儿童之家，撤并前儿童总数达到600人、留守儿童达到20人的村保留儿童之家活动阵地，设置儿童服务点。2021年，在驻地镇、中心镇、特色镇打造</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45</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个</w:t>
      </w:r>
      <w:r>
        <w:rPr>
          <w:rFonts w:hint="eastAsia" w:ascii="仿宋_GB2312" w:hAnsi="仿宋_GB2312" w:eastAsia="仿宋_GB2312" w:cs="仿宋"/>
          <w:b w:val="0"/>
          <w:bCs w:val="0"/>
          <w:color w:val="000000" w:themeColor="text1"/>
          <w:sz w:val="32"/>
          <w:szCs w:val="32"/>
          <w14:textFill>
            <w14:solidFill>
              <w14:schemeClr w14:val="tx1"/>
            </w14:solidFill>
          </w14:textFill>
        </w:rPr>
        <w:t>儿童之家示范点</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统一挂牌“童之家”示范点。</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pPr>
      <w:r>
        <w:rPr>
          <w:rFonts w:hint="eastAsia" w:ascii="仿宋_GB2312" w:hAnsi="仿宋_GB2312" w:eastAsia="仿宋_GB2312" w:cs="Times New Roman"/>
          <w:b/>
          <w:bCs/>
          <w:color w:val="000000" w:themeColor="text1"/>
          <w:sz w:val="32"/>
          <w:szCs w:val="32"/>
          <w14:textFill>
            <w14:solidFill>
              <w14:schemeClr w14:val="tx1"/>
            </w14:solidFill>
          </w14:textFill>
        </w:rPr>
        <w:t>试点建设婴幼儿照护机构。</w:t>
      </w:r>
      <w:r>
        <w:rPr>
          <w:rFonts w:hint="eastAsia" w:ascii="仿宋_GB2312" w:hAnsi="仿宋_GB2312" w:eastAsia="仿宋_GB2312" w:cs="仿宋"/>
          <w:b w:val="0"/>
          <w:bCs w:val="0"/>
          <w:color w:val="000000" w:themeColor="text1"/>
          <w:sz w:val="32"/>
          <w:szCs w:val="32"/>
          <w14:textFill>
            <w14:solidFill>
              <w14:schemeClr w14:val="tx1"/>
            </w14:solidFill>
          </w14:textFill>
        </w:rPr>
        <w:t>重点在驻地镇试点建设3岁以下婴幼儿照护机构，解决驻地镇(街道)人口集中社区的婴幼儿照护问题，健全便民服务体系，提升公共服务水平。2021年，</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7个县区和</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广元</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经开区分别选择1个驻地</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乡</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镇(街道)开展3岁以下婴幼儿照护机构建设试点。</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sz w:val="32"/>
          <w:szCs w:val="32"/>
        </w:rPr>
      </w:pPr>
      <w:r>
        <w:rPr>
          <w:rFonts w:ascii="仿宋_GB2312" w:hAnsi="仿宋_GB2312" w:eastAsia="仿宋_GB2312" w:cs="Times New Roman"/>
          <w:b/>
          <w:bCs/>
          <w:color w:val="000000" w:themeColor="text1"/>
          <w:sz w:val="32"/>
          <w:szCs w:val="32"/>
          <w14:textFill>
            <w14:solidFill>
              <w14:schemeClr w14:val="tx1"/>
            </w14:solidFill>
          </w14:textFill>
        </w:rPr>
        <w:t>实施儿童关爱服务项目。</w:t>
      </w:r>
      <w:r>
        <w:rPr>
          <w:rFonts w:hint="eastAsia" w:ascii="仿宋_GB2312" w:hAnsi="仿宋_GB2312" w:eastAsia="仿宋_GB2312" w:cs="仿宋"/>
          <w:b w:val="0"/>
          <w:bCs w:val="0"/>
          <w:color w:val="000000" w:themeColor="text1"/>
          <w:sz w:val="32"/>
          <w:szCs w:val="32"/>
          <w14:textFill>
            <w14:solidFill>
              <w14:schemeClr w14:val="tx1"/>
            </w14:solidFill>
          </w14:textFill>
        </w:rPr>
        <w:t>重点在改革后基础情况较差、留守儿童集中的乡镇实施“百镇千村、助爱牵手”项目，通过购买服务方式引入儿童类社会组织参与儿童基本信息采集、巡查巡访、政策链接、亲情关怀等服务。2021年底前，</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利州区、昭化区</w:t>
      </w:r>
      <w:r>
        <w:rPr>
          <w:rFonts w:hint="eastAsia" w:ascii="仿宋_GB2312" w:hAnsi="仿宋_GB2312" w:eastAsia="仿宋_GB2312" w:cs="仿宋"/>
          <w:b w:val="0"/>
          <w:bCs w:val="0"/>
          <w:color w:val="000000" w:themeColor="text1"/>
          <w:sz w:val="32"/>
          <w:szCs w:val="32"/>
          <w14:textFill>
            <w14:solidFill>
              <w14:schemeClr w14:val="tx1"/>
            </w14:solidFill>
          </w14:textFill>
        </w:rPr>
        <w:t>完成“百镇千村、助爱牵手”项目</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66</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个</w:t>
      </w:r>
      <w:r>
        <w:rPr>
          <w:rFonts w:hint="eastAsia" w:ascii="仿宋_GB2312" w:hAnsi="仿宋_GB2312" w:eastAsia="仿宋_GB2312" w:cs="仿宋"/>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楷体_GB2312" w:cs="Times New Roman"/>
          <w:b/>
          <w:bCs/>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（三）壮大专业化服务队伍</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b/>
          <w:bCs/>
          <w:color w:val="000000" w:themeColor="text1"/>
          <w:sz w:val="32"/>
          <w:szCs w:val="32"/>
          <w14:textFill>
            <w14:solidFill>
              <w14:schemeClr w14:val="tx1"/>
            </w14:solidFill>
          </w14:textFill>
        </w:rPr>
      </w:pPr>
      <w:r>
        <w:rPr>
          <w:rFonts w:ascii="仿宋_GB2312" w:hAnsi="仿宋_GB2312" w:eastAsia="仿宋_GB2312" w:cs="Times New Roman"/>
          <w:b/>
          <w:bCs/>
          <w:color w:val="000000" w:themeColor="text1"/>
          <w:sz w:val="32"/>
          <w:szCs w:val="32"/>
          <w14:textFill>
            <w14:solidFill>
              <w14:schemeClr w14:val="tx1"/>
            </w14:solidFill>
          </w14:textFill>
        </w:rPr>
        <w:t>整合基层服务力量。</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加强基层工作力量配备，重点选优配强乡镇（街道）儿童督导员、村（社区）儿童主任，加大儿童福利服务资源的有效供给。</w:t>
      </w:r>
      <w:r>
        <w:rPr>
          <w:rFonts w:hint="eastAsia" w:ascii="仿宋_GB2312" w:hAnsi="仿宋_GB2312" w:eastAsia="仿宋_GB2312" w:cs="仿宋"/>
          <w:b w:val="0"/>
          <w:bCs w:val="0"/>
          <w:color w:val="000000" w:themeColor="text1"/>
          <w:sz w:val="32"/>
          <w:szCs w:val="32"/>
          <w14:textFill>
            <w14:solidFill>
              <w14:schemeClr w14:val="tx1"/>
            </w14:solidFill>
          </w14:textFill>
        </w:rPr>
        <w:t>在涉改乡镇（街道）、村（社区）探索养老服务“一镇一专员、一村一专干”模式和儿童督导员、儿童主任、妇联主席或执委、共青团童伴妈妈“一肩挑”模式，支持专业社会组织等社会力量承接养老育幼服务。2021年，选择</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1个县区的</w:t>
      </w:r>
      <w:r>
        <w:rPr>
          <w:rFonts w:hint="eastAsia" w:ascii="仿宋_GB2312" w:hAnsi="仿宋_GB2312" w:eastAsia="仿宋_GB2312" w:cs="仿宋"/>
          <w:b w:val="0"/>
          <w:bCs w:val="0"/>
          <w:color w:val="000000" w:themeColor="text1"/>
          <w:sz w:val="32"/>
          <w:szCs w:val="32"/>
          <w14:textFill>
            <w14:solidFill>
              <w14:schemeClr w14:val="tx1"/>
            </w14:solidFill>
          </w14:textFill>
        </w:rPr>
        <w:t>涉改乡镇（街道）、村（社区）开展试点。</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b/>
          <w:bCs/>
          <w:i w:val="0"/>
          <w:iCs w:val="0"/>
          <w:color w:val="000000" w:themeColor="text1"/>
          <w:sz w:val="32"/>
          <w:szCs w:val="32"/>
          <w:u w:val="single"/>
          <w:lang w:val="en-US" w:eastAsia="zh-CN"/>
          <w14:textFill>
            <w14:solidFill>
              <w14:schemeClr w14:val="tx1"/>
            </w14:solidFill>
          </w14:textFill>
        </w:rPr>
        <w:t>培育本土社会组织。</w:t>
      </w:r>
      <w:r>
        <w:rPr>
          <w:rFonts w:hint="eastAsia" w:ascii="仿宋_GB2312" w:hAnsi="仿宋_GB2312" w:eastAsia="仿宋_GB2312" w:cs="仿宋"/>
          <w:b w:val="0"/>
          <w:bCs w:val="0"/>
          <w:i w:val="0"/>
          <w:iCs w:val="0"/>
          <w:color w:val="000000" w:themeColor="text1"/>
          <w:sz w:val="32"/>
          <w:szCs w:val="32"/>
          <w:u w:val="single"/>
          <w:lang w:val="en-US" w:eastAsia="zh-CN"/>
          <w14:textFill>
            <w14:solidFill>
              <w14:schemeClr w14:val="tx1"/>
            </w14:solidFill>
          </w14:textFill>
        </w:rPr>
        <w:t>吸引社会力量来我市投资，开办注册养老育幼服务组织。鼓励社会力量，爱心组织积极参与养老育幼服务工作，为养老育幼服务提供更好的专业化服务。</w:t>
      </w:r>
      <w:r>
        <w:rPr>
          <w:rFonts w:hint="eastAsia" w:ascii="仿宋_GB2312" w:hAnsi="仿宋_GB2312" w:eastAsia="仿宋_GB2312" w:cs="仿宋"/>
          <w:b w:val="0"/>
          <w:bCs w:val="0"/>
          <w:color w:val="000000" w:themeColor="text1"/>
          <w:sz w:val="32"/>
          <w:szCs w:val="32"/>
          <w:lang w:val="en-US" w:eastAsia="zh-CN"/>
          <w14:textFill>
            <w14:solidFill>
              <w14:schemeClr w14:val="tx1"/>
            </w14:solidFill>
          </w14:textFill>
        </w:rPr>
        <w:t>健全社工引领志愿者服务机制，聚焦养老服务、儿童关爱等公共服务领域，通过政府购买服务的方式在涉改乡镇（街道）、村（社区）培育服务群众、扎根基层的专业社工人才队伍，促进志愿服务发展。2021年底前，涉改乡镇（街道）、村（社区）志愿者服务队伍覆盖率达到100%。</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pPr>
      <w:r>
        <w:rPr>
          <w:rFonts w:hint="eastAsia" w:ascii="仿宋_GB2312" w:hAnsi="仿宋_GB2312" w:eastAsia="仿宋_GB2312" w:cs="Times New Roman"/>
          <w:b/>
          <w:bCs/>
          <w:color w:val="000000" w:themeColor="text1"/>
          <w:sz w:val="32"/>
          <w:szCs w:val="32"/>
          <w:u w:val="single"/>
          <w:lang w:val="en-US" w:eastAsia="zh-CN"/>
          <w14:textFill>
            <w14:solidFill>
              <w14:schemeClr w14:val="tx1"/>
            </w14:solidFill>
          </w14:textFill>
        </w:rPr>
        <w:t>开展专业技能培训。</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加强养老从业人员职业培训，探索建立养老护理员从业年限补贴制度，对符合条件的专业护理人员给予适当从业补贴。完善养老服务从业人员关爱和激励褒扬机制，采取理论+实践的方式在全市培养培训养老院院长、养老护理员、涉老社会工作者，加强对民政养老业务、专业技术等知识的学习，提升民政机构专业化服务水平。到2022年，全市培养150名养老院院长、500人次养老护理员、100名涉老社会工作者。</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黑体" w:cs="Times New Roman"/>
          <w:b w:val="0"/>
          <w:bCs w:val="0"/>
          <w:color w:val="000000" w:themeColor="text1"/>
          <w:sz w:val="32"/>
          <w:szCs w:val="32"/>
          <w14:textFill>
            <w14:solidFill>
              <w14:schemeClr w14:val="tx1"/>
            </w14:solidFill>
          </w14:textFill>
        </w:rPr>
      </w:pPr>
      <w:r>
        <w:rPr>
          <w:rFonts w:ascii="仿宋_GB2312" w:hAnsi="仿宋_GB2312" w:eastAsia="黑体" w:cs="Times New Roman"/>
          <w:b w:val="0"/>
          <w:bCs w:val="0"/>
          <w:color w:val="000000" w:themeColor="text1"/>
          <w:sz w:val="32"/>
          <w:szCs w:val="32"/>
          <w14:textFill>
            <w14:solidFill>
              <w14:schemeClr w14:val="tx1"/>
            </w14:solidFill>
          </w14:textFill>
        </w:rPr>
        <w:t>三、保障措施</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（四）</w:t>
      </w:r>
      <w:r>
        <w:rPr>
          <w:rFonts w:hint="eastAsia" w:ascii="仿宋_GB2312" w:hAnsi="仿宋_GB2312" w:eastAsia="楷体_GB2312" w:cs="Times New Roman"/>
          <w:b/>
          <w:bCs/>
          <w:color w:val="000000" w:themeColor="text1"/>
          <w:sz w:val="32"/>
          <w:szCs w:val="32"/>
          <w:lang w:eastAsia="zh-CN"/>
          <w14:textFill>
            <w14:solidFill>
              <w14:schemeClr w14:val="tx1"/>
            </w14:solidFill>
          </w14:textFill>
        </w:rPr>
        <w:t>加强</w:t>
      </w:r>
      <w:r>
        <w:rPr>
          <w:rFonts w:ascii="仿宋_GB2312" w:hAnsi="仿宋_GB2312" w:eastAsia="楷体_GB2312" w:cs="Times New Roman"/>
          <w:b/>
          <w:bCs/>
          <w:color w:val="000000" w:themeColor="text1"/>
          <w:sz w:val="32"/>
          <w:szCs w:val="32"/>
          <w14:textFill>
            <w14:solidFill>
              <w14:schemeClr w14:val="tx1"/>
            </w14:solidFill>
          </w14:textFill>
        </w:rPr>
        <w:t>组织领导</w:t>
      </w:r>
      <w:r>
        <w:rPr>
          <w:rFonts w:hint="eastAsia" w:ascii="仿宋_GB2312" w:hAnsi="仿宋_GB2312" w:eastAsia="仿宋_GB2312" w:cs="仿宋"/>
          <w:b w:val="0"/>
          <w:bCs w:val="0"/>
          <w:color w:val="000000" w:themeColor="text1"/>
          <w:sz w:val="32"/>
          <w:szCs w:val="32"/>
          <w14:textFill>
            <w14:solidFill>
              <w14:schemeClr w14:val="tx1"/>
            </w14:solidFill>
          </w14:textFill>
        </w:rPr>
        <w:t>。健全党委领导、政府主导、部门负责、社会参与的工作推进机制，</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进一步明确各部门职责，加强机制、政策和资源协同，统筹协作形成工作合力。</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共同</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推进全</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市</w:t>
      </w:r>
      <w:r>
        <w:rPr>
          <w:rFonts w:hint="eastAsia" w:ascii="仿宋_GB2312" w:hAnsi="仿宋_GB2312" w:eastAsia="仿宋_GB2312" w:cs="仿宋"/>
          <w:b w:val="0"/>
          <w:bCs w:val="0"/>
          <w:color w:val="000000" w:themeColor="text1"/>
          <w:sz w:val="32"/>
          <w:szCs w:val="32"/>
          <w14:textFill>
            <w14:solidFill>
              <w14:schemeClr w14:val="tx1"/>
            </w14:solidFill>
          </w14:textFill>
        </w:rPr>
        <w:t>养老育幼基本公共服务能力提升工作，各</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有</w:t>
      </w:r>
      <w:r>
        <w:rPr>
          <w:rFonts w:hint="eastAsia" w:ascii="仿宋_GB2312" w:hAnsi="仿宋_GB2312" w:eastAsia="仿宋_GB2312" w:cs="仿宋"/>
          <w:b w:val="0"/>
          <w:bCs w:val="0"/>
          <w:color w:val="000000" w:themeColor="text1"/>
          <w:sz w:val="32"/>
          <w:szCs w:val="32"/>
          <w14:textFill>
            <w14:solidFill>
              <w14:schemeClr w14:val="tx1"/>
            </w14:solidFill>
          </w14:textFill>
        </w:rPr>
        <w:t>关部门强化组织实施，细化措施，压茬推进，确保重点任务按时高</w:t>
      </w: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质量</w:t>
      </w:r>
      <w:r>
        <w:rPr>
          <w:rFonts w:hint="eastAsia" w:ascii="仿宋_GB2312" w:hAnsi="仿宋_GB2312" w:eastAsia="仿宋_GB2312" w:cs="仿宋"/>
          <w:b w:val="0"/>
          <w:bCs w:val="0"/>
          <w:color w:val="000000" w:themeColor="text1"/>
          <w:sz w:val="32"/>
          <w:szCs w:val="32"/>
          <w14:textFill>
            <w14:solidFill>
              <w14:schemeClr w14:val="tx1"/>
            </w14:solidFill>
          </w14:textFill>
        </w:rPr>
        <w:t>完成。</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（五）</w:t>
      </w:r>
      <w:r>
        <w:rPr>
          <w:rFonts w:hint="eastAsia" w:ascii="仿宋_GB2312" w:hAnsi="仿宋_GB2312" w:eastAsia="楷体_GB2312" w:cs="Times New Roman"/>
          <w:b/>
          <w:bCs/>
          <w:color w:val="000000" w:themeColor="text1"/>
          <w:sz w:val="32"/>
          <w:szCs w:val="32"/>
          <w:u w:val="single"/>
          <w14:textFill>
            <w14:solidFill>
              <w14:schemeClr w14:val="tx1"/>
            </w14:solidFill>
          </w14:textFill>
        </w:rPr>
        <w:t>加大政府投入</w:t>
      </w:r>
      <w:r>
        <w:rPr>
          <w:rFonts w:ascii="仿宋_GB2312" w:hAnsi="仿宋_GB2312" w:eastAsia="楷体_GB2312" w:cs="Times New Roman"/>
          <w:b/>
          <w:bCs/>
          <w:color w:val="000000" w:themeColor="text1"/>
          <w:sz w:val="32"/>
          <w:szCs w:val="32"/>
          <w:u w:val="single"/>
          <w14:textFill>
            <w14:solidFill>
              <w14:schemeClr w14:val="tx1"/>
            </w14:solidFill>
          </w14:textFill>
        </w:rPr>
        <w:t>。</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实施民办养老机构建设补贴</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，对接收经济困难的高龄、失能老年人的养老机构，按上述老年人数量同等享受运营补贴，入住的上述老年人按规定享受养老服务补贴。</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将养老服务纳入政府购买服务指导性目录。落实各项行政事业性收费减免政策，落实养老服务机构用电、用水、用气享受居民价格政策。</w:t>
      </w:r>
      <w:r>
        <w:rPr>
          <w:rFonts w:hint="eastAsia" w:ascii="仿宋_GB2312" w:hAnsi="仿宋_GB2312" w:eastAsia="仿宋_GB2312" w:cs="仿宋"/>
          <w:b w:val="0"/>
          <w:bCs w:val="0"/>
          <w:color w:val="000000" w:themeColor="text1"/>
          <w:sz w:val="32"/>
          <w:szCs w:val="32"/>
          <w14:textFill>
            <w14:solidFill>
              <w14:schemeClr w14:val="tx1"/>
            </w14:solidFill>
          </w14:textFill>
        </w:rPr>
        <w:t>要将基层养老育幼服务所需资金纳入年度财政预算，到2022年，各地用于社会福利事业的彩票公益金，按55%以上的资金发展养老服务。</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pPr>
      <w:r>
        <w:rPr>
          <w:rFonts w:ascii="仿宋_GB2312" w:hAnsi="仿宋_GB2312" w:eastAsia="楷体_GB2312" w:cs="Times New Roman"/>
          <w:b/>
          <w:bCs/>
          <w:color w:val="000000" w:themeColor="text1"/>
          <w:sz w:val="32"/>
          <w:szCs w:val="32"/>
          <w:u w:val="single"/>
          <w14:textFill>
            <w14:solidFill>
              <w14:schemeClr w14:val="tx1"/>
            </w14:solidFill>
          </w14:textFill>
        </w:rPr>
        <w:t>（六）</w:t>
      </w:r>
      <w:r>
        <w:rPr>
          <w:rFonts w:hint="eastAsia" w:ascii="仿宋_GB2312" w:hAnsi="仿宋_GB2312" w:eastAsia="楷体_GB2312" w:cs="Times New Roman"/>
          <w:b/>
          <w:bCs/>
          <w:color w:val="000000" w:themeColor="text1"/>
          <w:sz w:val="32"/>
          <w:szCs w:val="32"/>
          <w:u w:val="single"/>
          <w14:textFill>
            <w14:solidFill>
              <w14:schemeClr w14:val="tx1"/>
            </w14:solidFill>
          </w14:textFill>
        </w:rPr>
        <w:t>科学规划利用</w:t>
      </w:r>
      <w:r>
        <w:rPr>
          <w:rFonts w:ascii="仿宋_GB2312" w:hAnsi="仿宋_GB2312" w:eastAsia="楷体_GB2312" w:cs="Times New Roman"/>
          <w:b/>
          <w:bCs/>
          <w:color w:val="000000" w:themeColor="text1"/>
          <w:sz w:val="32"/>
          <w:szCs w:val="32"/>
          <w:u w:val="single"/>
          <w14:textFill>
            <w14:solidFill>
              <w14:schemeClr w14:val="tx1"/>
            </w14:solidFill>
          </w14:textFill>
        </w:rPr>
        <w:t>。</w:t>
      </w:r>
      <w:r>
        <w:rPr>
          <w:rFonts w:hint="eastAsia" w:ascii="仿宋_GB2312" w:hAnsi="仿宋_GB2312" w:eastAsia="仿宋_GB2312" w:cs="仿宋"/>
          <w:b w:val="0"/>
          <w:bCs w:val="0"/>
          <w:color w:val="000000" w:themeColor="text1"/>
          <w:sz w:val="32"/>
          <w:szCs w:val="32"/>
          <w:u w:val="single"/>
          <w14:textFill>
            <w14:solidFill>
              <w14:schemeClr w14:val="tx1"/>
            </w14:solidFill>
          </w14:textFill>
        </w:rPr>
        <w:t>各地要落实养老服务设施分区分级设置规划建设要求，在编制国土空间规划时，同步编制养老服务设施建设布局规划，明确养老服务设施的用地位置及规模。新建城区和新建居住小区配置养老服务设施用地规模未达到规定最低标准的，不得通过国土空间总体规划和详细规划的审查。</w:t>
      </w:r>
      <w:r>
        <w:rPr>
          <w:rFonts w:hint="eastAsia" w:ascii="仿宋_GB2312" w:hAnsi="仿宋_GB2312" w:eastAsia="仿宋_GB2312" w:cs="仿宋"/>
          <w:b w:val="0"/>
          <w:bCs w:val="0"/>
          <w:color w:val="000000" w:themeColor="text1"/>
          <w:sz w:val="32"/>
          <w:szCs w:val="32"/>
          <w:u w:val="single"/>
          <w:lang w:eastAsia="zh-CN"/>
          <w14:textFill>
            <w14:solidFill>
              <w14:schemeClr w14:val="tx1"/>
            </w14:solidFill>
          </w14:textFill>
        </w:rPr>
        <w:t>严格落实</w:t>
      </w:r>
      <w:r>
        <w:rPr>
          <w:rFonts w:hint="eastAsia" w:ascii="仿宋_GB2312" w:hAnsi="仿宋_GB2312" w:eastAsia="仿宋_GB2312" w:cs="仿宋"/>
          <w:b w:val="0"/>
          <w:bCs w:val="0"/>
          <w:color w:val="000000" w:themeColor="text1"/>
          <w:sz w:val="32"/>
          <w:szCs w:val="32"/>
          <w:u w:val="single"/>
          <w:lang w:val="en-US" w:eastAsia="zh-CN"/>
          <w14:textFill>
            <w14:solidFill>
              <w14:schemeClr w14:val="tx1"/>
            </w14:solidFill>
          </w14:textFill>
        </w:rPr>
        <w:t>新建住宅小区与配套养老服务设施同步规划、同步建设、同步验收、同步交付，对存在配套养老服务设施缓建、缩建、停建、不建和建而不交等问题的，在整改到位之前建设单位不得组织竣工验收。</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
          <w:b w:val="0"/>
          <w:bCs w:val="0"/>
          <w:color w:val="000000" w:themeColor="text1"/>
          <w:sz w:val="32"/>
          <w:szCs w:val="32"/>
          <w14:textFill>
            <w14:solidFill>
              <w14:schemeClr w14:val="tx1"/>
            </w14:solidFill>
          </w14:textFill>
        </w:rPr>
      </w:pPr>
      <w:r>
        <w:rPr>
          <w:rFonts w:ascii="仿宋_GB2312" w:hAnsi="仿宋_GB2312" w:eastAsia="楷体_GB2312" w:cs="Times New Roman"/>
          <w:b/>
          <w:bCs/>
          <w:color w:val="000000" w:themeColor="text1"/>
          <w:sz w:val="32"/>
          <w:szCs w:val="32"/>
          <w14:textFill>
            <w14:solidFill>
              <w14:schemeClr w14:val="tx1"/>
            </w14:solidFill>
          </w14:textFill>
        </w:rPr>
        <w:t>（</w:t>
      </w:r>
      <w:r>
        <w:rPr>
          <w:rFonts w:hint="eastAsia" w:ascii="仿宋_GB2312" w:hAnsi="仿宋_GB2312" w:eastAsia="楷体_GB2312" w:cs="Times New Roman"/>
          <w:b/>
          <w:bCs/>
          <w:color w:val="000000" w:themeColor="text1"/>
          <w:sz w:val="32"/>
          <w:szCs w:val="32"/>
          <w:lang w:eastAsia="zh-CN"/>
          <w14:textFill>
            <w14:solidFill>
              <w14:schemeClr w14:val="tx1"/>
            </w14:solidFill>
          </w14:textFill>
        </w:rPr>
        <w:t>七</w:t>
      </w:r>
      <w:r>
        <w:rPr>
          <w:rFonts w:ascii="仿宋_GB2312" w:hAnsi="仿宋_GB2312" w:eastAsia="楷体_GB2312" w:cs="Times New Roman"/>
          <w:b/>
          <w:bCs/>
          <w:color w:val="000000" w:themeColor="text1"/>
          <w:sz w:val="32"/>
          <w:szCs w:val="32"/>
          <w14:textFill>
            <w14:solidFill>
              <w14:schemeClr w14:val="tx1"/>
            </w14:solidFill>
          </w14:textFill>
        </w:rPr>
        <w:t>）强化督查检查。</w:t>
      </w:r>
      <w:r>
        <w:rPr>
          <w:rFonts w:hint="eastAsia" w:ascii="仿宋_GB2312" w:hAnsi="仿宋_GB2312" w:eastAsia="仿宋_GB2312" w:cs="仿宋"/>
          <w:b w:val="0"/>
          <w:bCs w:val="0"/>
          <w:color w:val="000000" w:themeColor="text1"/>
          <w:sz w:val="32"/>
          <w:szCs w:val="32"/>
          <w14:textFill>
            <w14:solidFill>
              <w14:schemeClr w14:val="tx1"/>
            </w14:solidFill>
          </w14:textFill>
        </w:rPr>
        <w:t>把养老育幼基本公共服务能力提升工作纳入年度民政工作综合评估范围，列入年度重点督查内容。对相关试点项目制定实施方案、考核细则，确保项目取得实效，适时推广。强化考核结果的运用，作为年终考评、项目申报、资金拨付的重要依据。</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s="Times New Roman"/>
          <w:b/>
          <w:bCs/>
          <w:color w:val="000000" w:themeColor="text1"/>
          <w:sz w:val="32"/>
          <w:szCs w:val="32"/>
          <w14:textFill>
            <w14:solidFill>
              <w14:schemeClr w14:val="tx1"/>
            </w14:solidFill>
          </w14:textFill>
        </w:rPr>
      </w:pPr>
    </w:p>
    <w:p>
      <w:pPr>
        <w:rPr>
          <w:rFonts w:ascii="仿宋_GB2312" w:hAnsi="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3B0D95B0-606D-4B27-8F39-07056D64D989}"/>
  </w:font>
  <w:font w:name="Arial">
    <w:panose1 w:val="020B0604020202020204"/>
    <w:charset w:val="01"/>
    <w:family w:val="swiss"/>
    <w:pitch w:val="default"/>
    <w:sig w:usb0="00007A87" w:usb1="80000000" w:usb2="00000008" w:usb3="00000000" w:csb0="400001FF" w:csb1="FFFF0000"/>
    <w:embedRegular r:id="rId2" w:fontKey="{E073E2FE-E856-4171-B1DC-16DC861A6DCF}"/>
  </w:font>
  <w:font w:name="黑体">
    <w:panose1 w:val="02010600030101010101"/>
    <w:charset w:val="86"/>
    <w:family w:val="auto"/>
    <w:pitch w:val="default"/>
    <w:sig w:usb0="00000001" w:usb1="080E0000" w:usb2="00000000" w:usb3="00000000" w:csb0="00040000" w:csb1="00000000"/>
    <w:embedRegular r:id="rId3" w:fontKey="{A58ADD3B-DB6A-406E-A026-4FC0A323B4BE}"/>
  </w:font>
  <w:font w:name="Courier New">
    <w:panose1 w:val="02070309020205020404"/>
    <w:charset w:val="01"/>
    <w:family w:val="modern"/>
    <w:pitch w:val="default"/>
    <w:sig w:usb0="00007A87" w:usb1="80000000" w:usb2="00000008" w:usb3="00000000" w:csb0="400001FF" w:csb1="FFFF0000"/>
    <w:embedRegular r:id="rId4" w:fontKey="{C7985411-AA5E-4E6A-89B9-A097697AF63C}"/>
  </w:font>
  <w:font w:name="Symbol">
    <w:panose1 w:val="05050102010706020507"/>
    <w:charset w:val="02"/>
    <w:family w:val="roman"/>
    <w:pitch w:val="default"/>
    <w:sig w:usb0="00000000" w:usb1="00000000" w:usb2="00000000" w:usb3="00000000" w:csb0="80000000" w:csb1="00000000"/>
    <w:embedRegular r:id="rId5" w:fontKey="{978C4D47-9CBA-408A-B33D-89A3AB629436}"/>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8C48619C-9841-4D59-8151-C28662850563}"/>
  </w:font>
  <w:font w:name="方正小标宋简体">
    <w:panose1 w:val="02010601030101010101"/>
    <w:charset w:val="86"/>
    <w:family w:val="auto"/>
    <w:pitch w:val="default"/>
    <w:sig w:usb0="00000001" w:usb1="080E0000" w:usb2="00000000" w:usb3="00000000" w:csb0="00040000" w:csb1="00000000"/>
    <w:embedRegular r:id="rId7" w:fontKey="{6BAD729B-E545-4563-875F-1BCF5C1695AA}"/>
  </w:font>
  <w:font w:name="楷体_GB2312">
    <w:panose1 w:val="02010609030101010101"/>
    <w:charset w:val="86"/>
    <w:family w:val="modern"/>
    <w:pitch w:val="default"/>
    <w:sig w:usb0="00000001" w:usb1="080E0000" w:usb2="00000000" w:usb3="00000000" w:csb0="00040000" w:csb1="00000000"/>
    <w:embedRegular r:id="rId8" w:fontKey="{36AAED92-6151-4C81-8350-7FCD48E0AB39}"/>
  </w:font>
  <w:font w:name="仿宋">
    <w:altName w:val="微软雅黑"/>
    <w:panose1 w:val="02010609060101010101"/>
    <w:charset w:val="86"/>
    <w:family w:val="auto"/>
    <w:pitch w:val="default"/>
    <w:sig w:usb0="00000000" w:usb1="00000000" w:usb2="00000016" w:usb3="00000000" w:csb0="00040001" w:csb1="00000000"/>
    <w:embedRegular r:id="rId9" w:fontKey="{225D976E-990F-4FF1-A535-510C4E826121}"/>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03055"/>
    <w:rsid w:val="0CFE61E5"/>
    <w:rsid w:val="10E632AC"/>
    <w:rsid w:val="18B03ED1"/>
    <w:rsid w:val="1E041109"/>
    <w:rsid w:val="1E2E47BC"/>
    <w:rsid w:val="208964EA"/>
    <w:rsid w:val="26155D1F"/>
    <w:rsid w:val="27DF7F39"/>
    <w:rsid w:val="2B404405"/>
    <w:rsid w:val="2F134A14"/>
    <w:rsid w:val="30BB5280"/>
    <w:rsid w:val="33CF6654"/>
    <w:rsid w:val="3A6414F9"/>
    <w:rsid w:val="3F7F563F"/>
    <w:rsid w:val="3FA23EA6"/>
    <w:rsid w:val="40B22A85"/>
    <w:rsid w:val="43F1340E"/>
    <w:rsid w:val="451C4259"/>
    <w:rsid w:val="45D61FE7"/>
    <w:rsid w:val="48F107AF"/>
    <w:rsid w:val="4C0B2BE0"/>
    <w:rsid w:val="4D624F3F"/>
    <w:rsid w:val="4D972ADF"/>
    <w:rsid w:val="4F493E8C"/>
    <w:rsid w:val="54B264A3"/>
    <w:rsid w:val="553B1727"/>
    <w:rsid w:val="5592257D"/>
    <w:rsid w:val="56207500"/>
    <w:rsid w:val="56896FAF"/>
    <w:rsid w:val="59083DD9"/>
    <w:rsid w:val="5BC37A6B"/>
    <w:rsid w:val="60E42D6E"/>
    <w:rsid w:val="649E09D7"/>
    <w:rsid w:val="67745FE3"/>
    <w:rsid w:val="679D6408"/>
    <w:rsid w:val="6B102523"/>
    <w:rsid w:val="6EA14453"/>
    <w:rsid w:val="6EF04B09"/>
    <w:rsid w:val="6FEF4CAF"/>
    <w:rsid w:val="730B0785"/>
    <w:rsid w:val="79A12E72"/>
    <w:rsid w:val="7E687D2A"/>
    <w:rsid w:val="7F85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2021-04-15T03:49:00Z</cp:lastPrinted>
  <dcterms:modified xsi:type="dcterms:W3CDTF">2021-04-28T08:11:07Z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01D7062CE75A4CE7803B28AF46CA0442</vt:lpwstr>
  </property>
  <property fmtid="{D5CDD505-2E9C-101B-9397-08002B2CF9AE}" pid="4" name="KSOSaveFontToCloudKey">
    <vt:lpwstr>0_embed</vt:lpwstr>
  </property>
</Properties>
</file>